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Mapping: Ontologie naar het Presales Framework (IT Outsourcing RFP Checklist)</w:t>
      </w:r>
    </w:p>
    <w:p>
      <w:pPr>
        <w:pStyle w:val="MdParagraph"/>
      </w:pPr>
      <w:r>
        <w:t xml:space="preserve">Dit document beschrijft hoe de Service Description Ontologie (de 5 kennisgebieden en bijbehorende hoofdstukken) zich verhoudt tot het Presales Framework (de 8 domeinen van de IT Outsourcing RFP Checklist). Deze mapping toont aan hoe de technische productdocumentatie de commerciële RFP-beantwoording voedt.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Strategie &amp; Scope</w:t>
      </w:r>
    </w:p>
    <w:p>
      <w:pPr>
        <w:pStyle w:val="MdParagraph"/>
      </w:pPr>
      <w:r>
        <w:t xml:space="preserve">Het domein Strategie &amp; Scope binnen het framework omvat de business doelstellingen, in-scope services, out-of-scope, transformatie visie en innovatie roadmap. Deze elementen worden voornamelijk gevoed door de scope- en productoverzichten uit de ontologie.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Scope &amp; Out of Scope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Scope / out-of-scope (2.3.3)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Bepaalt direct de functionele en technische grenzen van de dienstverlening.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Business Doelstellingen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Understanding the Client’s Needs (2.2)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Vertaalt de klantbehoefte naar de transformatie visie en strategische doelen.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Innovatie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Value Proposition (2.4)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Helpt bij het formuleren van de strategische waarde en toekomstige roadmap.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 Scope Services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 summary (2.1) &amp; Description (2.3)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Levert de fundamentele basisteksten voor wat de dienst precies inhoudt.</w:t>
            </w:r>
          </w:p>
        </w:tc>
      </w:tr>
    </w:tbl>
    <w:p>
      <w:pPr>
        <w:pStyle w:val="Heading2"/>
        <w:pStyle w:val="MdHeading2"/>
      </w:pPr>
      <w:r>
        <w:t xml:space="preserve">2. Oplossing &amp; Architectuur</w:t>
      </w:r>
    </w:p>
    <w:p>
      <w:pPr>
        <w:pStyle w:val="MdParagraph"/>
      </w:pPr>
      <w:r>
        <w:t xml:space="preserve">De Oplossing &amp; Architectuur dekt het target operating model, de infrastructuur, applicaties, integraties en tooling. De technische beschrijvingen uit de Service Description vormen hier de blauwdruk.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Infrastructuur, Cloud &amp; Integraties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Architectural description (2.3.1)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Levert het technische ontwerp en de architectuurplaat voor de voorgestelde oplossing.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Tooling &amp; Automatisering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features and functionalities (2.3.2)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Beschrijft de specifieke technische mogelijkheden en automatiseringsplatforms.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 Operating Model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Other conditional solutions (1.1.4)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Definieert afhankelijkheden met andere diensten die het totale operating model vormen.</w:t>
            </w:r>
          </w:p>
        </w:tc>
      </w:tr>
    </w:tbl>
    <w:p>
      <w:pPr>
        <w:pStyle w:val="Heading2"/>
        <w:pStyle w:val="MdHeading2"/>
      </w:pPr>
      <w:r>
        <w:t xml:space="preserve">3. Transitie &amp; Transformatie</w:t>
      </w:r>
    </w:p>
    <w:p>
      <w:pPr>
        <w:pStyle w:val="MdParagraph"/>
      </w:pPr>
      <w:r>
        <w:t xml:space="preserve">Dit domein beheert het transitieplan, kennisoverdracht, datamigratie, risicomanagement en acceptatiecriteria (RFS).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Transitie Plan &amp; Data Migratie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Transition &amp; Transformation (MVP) (2.6)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Vormt de directe bron voor de planning, fasering en uitvoering van de migratie.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Acceptatiecriteria (RFS)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Conditions for acceptance (2.9.2)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Vertaalt één-op-één naar de formele criteria voor go-live (Ready for Service).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Risicomanagement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Assumptions &amp; Risks (2.9.1)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Identificeert en mitigeert risico's specifiek gerelateerd aan de transitiefase.</w:t>
            </w:r>
          </w:p>
        </w:tc>
      </w:tr>
    </w:tbl>
    <w:p>
      <w:pPr>
        <w:pStyle w:val="Heading2"/>
        <w:pStyle w:val="MdHeading2"/>
      </w:pPr>
      <w:r>
        <w:t xml:space="preserve">4. Service Delivery &amp; Ops</w:t>
      </w:r>
    </w:p>
    <w:p>
      <w:pPr>
        <w:pStyle w:val="MdParagraph"/>
      </w:pPr>
      <w:r>
        <w:t xml:space="preserve">Service Delivery &amp; Ops richt zich op de dagelijkse operatie, waaronder de service desk, incident/problem/change management en monitoring.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Service Desk, Incident &amp; Change Mgmt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Operational Support (2.8)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 de kernbron voor alle operationele processen en procedures binnen de run-fase.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Monitoring &amp; Continuous Improvement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features and functionalities (2.3.2)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Beschrijft specifieke operationele features zoals self-service portals of monitoring tools die continue verbetering ondersteunen.</w:t>
            </w:r>
          </w:p>
        </w:tc>
      </w:tr>
    </w:tbl>
    <w:p>
      <w:pPr>
        <w:pStyle w:val="Heading2"/>
        <w:pStyle w:val="MdHeading2"/>
      </w:pPr>
      <w:r>
        <w:t xml:space="preserve">5. Governance &amp; Kwaliteit</w:t>
      </w:r>
    </w:p>
    <w:p>
      <w:pPr>
        <w:pStyle w:val="MdParagraph"/>
      </w:pPr>
      <w:r>
        <w:t xml:space="preserve">Governance &amp; Kwaliteit omvat SLA's, KPI's, de RACI matrix, overlegstructuren en escalatieprocedures.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SLA's, KPI's &amp; Rapportage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SLA &amp; KPI Management (2.9.3)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Levert de harde afspraken over beschikbaarheid, responstijden en performance rapportages.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RACI Matrix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responsibilities (2.7)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Definieert, samen met de interne verantwoordelijkheden, wie wat doet in de samenwerking.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Overlegstructuur &amp; Escalatie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Cegeka contacts (1.1.1)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Identificeert de sleutelfiguren en contactpersonen voor escalaties en governance meetings.</w:t>
            </w:r>
          </w:p>
        </w:tc>
      </w:tr>
    </w:tbl>
    <w:p>
      <w:pPr>
        <w:pStyle w:val="Heading2"/>
        <w:pStyle w:val="MdHeading2"/>
      </w:pPr>
      <w:r>
        <w:t xml:space="preserve">6. Security &amp; Compliance</w:t>
      </w:r>
    </w:p>
    <w:p>
      <w:pPr>
        <w:pStyle w:val="MdParagraph"/>
      </w:pPr>
      <w:r>
        <w:t xml:space="preserve">Dit domein behandelt informatiebeveiliging, GDPR, business continuity (BCP), disaster recovery (DRP) en certificeringen.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Informatiebeveiliging &amp; GDPR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Requirements and Prerequisites (2.3.4)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Definieert de noodzakelijke security-baselines waaraan de klantomgeving moet voldoen.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BCP &amp; DRP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Assumptions &amp; Risks (2.9.1)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Bevat vaak de security- en compliance-risico's en de bijbehorende mitigerende maatregelen voor bedrijfscontinuïteit.</w:t>
            </w:r>
          </w:p>
        </w:tc>
      </w:tr>
    </w:tbl>
    <w:p>
      <w:pPr>
        <w:pStyle w:val="Heading2"/>
        <w:pStyle w:val="MdHeading2"/>
      </w:pPr>
      <w:r>
        <w:t xml:space="preserve">7. Commercieel &amp; Financieel</w:t>
      </w:r>
    </w:p>
    <w:p>
      <w:pPr>
        <w:pStyle w:val="MdParagraph"/>
      </w:pPr>
      <w:r>
        <w:t xml:space="preserve">Commercieel &amp; Financieel omvat het prijsmodel, eenmalige en terugkerende kosten, bonus/malus systemen en indexatie.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Prijsmodel &amp; Tarieven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Cost/Pricing elements (2.10)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Vormt de hoofdbron voor het algehele commerciële model van de aanbieding.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Eenmalige Kosten (Transitie)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 time cost elements (2.10.1)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Specificeert de opstart- en transitiekosten.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Terugkerende Kosten (Run)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Recurring costing elements (2.10.2)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Definieert de maandelijkse of jaarlijkse exploitatiekosten.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Indexatie &amp; Facturatie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Charging mechanism (2.10.3)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Bepaalt hoe facturatie plaatsvindt, inclusief aspecten van prijsindexatie.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Bouwstenen (Pricing)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SKU information (1.1.3)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Levert de exacte commerciële componenten (SKU's) voor de prijsberekening.</w:t>
            </w:r>
          </w:p>
        </w:tc>
      </w:tr>
    </w:tbl>
    <w:p>
      <w:pPr>
        <w:pStyle w:val="Heading2"/>
        <w:pStyle w:val="MdHeading2"/>
      </w:pPr>
      <w:r>
        <w:t xml:space="preserve">8. Legal &amp; HR</w:t>
      </w:r>
    </w:p>
    <w:p>
      <w:pPr>
        <w:pStyle w:val="MdParagraph"/>
      </w:pPr>
      <w:r>
        <w:t xml:space="preserve">Het laatste domein dekt de contractvoorwaarden (T&amp;C), intellectueel eigendom, aansprakelijkheid, exit-strategieën en personeelsovername (TUPE).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Framework 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Ontologie Hoofdstuk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Bijdrage &amp; Uitleg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Contractvoorwaarden &amp; 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Terms and Conditions (2.9)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 directe bron voor de juridische kaders, aansprakelijkheid en eigendomsrechten.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Exit, Reversibiliteit &amp; TUPE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Assumptions &amp; Risks (2.9.1)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Bevat juridische aannames en randvoorwaarden rondom complexe thema's zoals exit-regelingen en personeelsovernames.</w:t>
            </w:r>
          </w:p>
        </w:tc>
      </w:tr>
    </w:tbl>
    <w:p>
      <w:pPr>
        <w:pStyle w:val="Heading2"/>
        <w:pStyle w:val="MdHeading2"/>
      </w:pPr>
      <w:r>
        <w:t xml:space="preserve">Conclusie</w:t>
      </w:r>
    </w:p>
    <w:p>
      <w:pPr>
        <w:pStyle w:val="MdParagraph"/>
      </w:pPr>
      <w:r>
        <w:t xml:space="preserve">De mapping toont aan dat de Service Description Ontologie een robuuste fundering biedt voor het beantwoorden van RFP's volgens het Presales Framework. Door deze mapping te gebruiken, kan het presales-team systematisch de juiste technische, operationele en commerciële informatie uit de standaarddocumentatie ophalen om een complete, consistente en overtuigende RFP-response op te bouwen.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2026-03-21T19:21:07.248Z</dcterms:created>
  <dcterms:modified xsi:type="dcterms:W3CDTF">2026-03-21T19:21:07.249Z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