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VUL_HIER_IN</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VUL_HIER_IN</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Conditions The number of concurrent sessions is a factor for the pricing of the service. If the customer has or requires more concurrent sessions than is allowed for a single instance, than one or more additional instances are charged. This also implies that the required resources to sustain these sessions are provisioned in the virtual firewall of the Customer. Maintenance &amp; Licenses Cegeka is responsible for the proper operation of the service. This includes the number of licenses and maintenance. Responsibility matrix Activity Customer Cegeka Define security policies R, A I, C Define security requirements I, C R, A Recommend best practice security management I, C R, A Manage the Shared Firewall Platform R, A Add/change/remove firewall rules I R, A Inspect firewall logging I R, A Reporting security incidents I R, A Monitoring &amp; Reporting A monthly report will be made available on de Horizon Portal</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VUL_HIER_IN</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