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This document describes the Oracle Exadata Cloud@Customer (Oracle ExaCC) service to enable a high performing Oracle databases platform.</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Co Terminus Yearly Reservation Bring Your Own License (BYOL) License Included Cost driver Hardware reservation, platform consumption and contract duration Hardware reservation, platform consumption and contract duration OCPU per hour, existing Oracle DB licenses OCPU per hour Run Exadata Platform Capacity and Support Services The customer commits to pay the hardware allocation from start of contract till the end of life (EOL) of this platform. The customer commits for 12 months hardware reservation on the ExaCC platform. Exadata Platform Consumption In a BYOL model, customers can deploy their existing Oracle Database Enterprise Edition and Database Option licenses on ExaCC (See §1.5.2) This subscription model is ideal for customers without existing Oracle Database licenses, or customers seeking to use Oracle Database features beyond what they are currently licensed to use. (See §1.5.2)</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The run service for ExaCC consists of two components as described in chapter 1.2.2 Shared Service Offered. The first component – Exadata Platform Capacity and Support Services – covers the hardware reservation and all supporting services from Cegeka and Oracle to maintain the Exadata hardware and software. The second component is needed when installing databases on the platform and is called the Exadata Platform Consumption. Note that the management of the OS (Operating System) and databases is covered in a separate managed service offering and is not part of this service.</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