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For the usage of rack space, the equipment must be industry standard 19” rack compatible For the usage of server blades, the equipment must be compatible with the Cegeka blade infrastructure (to be discussed on a need basis) Equipment must have a front to back airflow. Equipment must be 230V or 400V (3 phases, max 32A) or 230V (1 phase, max 32A)</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actual mapping of the operational service instances towards these KPI’s are documented on the Service Delivery site under ‘Operational documentation’. Availability The following Availability KPI’s are provided for the Service: KPI ID KPI name Metric KPI.0.L.101.Gold DC availability 99,985 %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