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The Managed Detection &amp; Response (MDR) services can be delivered through different technological types: Each Service will start with the Transition Service(s) to bring it into production which will start the Run Services. The Transition Services consists of two (2) types: After the transition, the Managed Services will start which consist of three (3) types: The following table consists of a high-level overview of the Transition &amp; Run services of each of the different technology types: Managed Detection &amp; Response for CrowdStrike Type ENDPOINT IDENTITY CLOUD Scope Per Endpoint Per User Per Workload DETECTION Advanced Threat Intelligence x x x Threat Hunting 24x7 Security Monitoring x RESPONSE Threat Response x x Cyber Security Advisory x PLATFORM License Management x x x Configuration &amp; Release management Health Monitoring User Management x x x TRANSITION Technical Implementation x x x Operational Readiness x x x</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The goal of the technical implementation is to implement all technical measures as stated in the Statement of Work. Cegeka will perform the following activities during the technical implementation: For Cegeka to be able to effectively perform the technical implementation, the customer is responsible for: The technical implementation will be formalized on a per project base in a Technical Design document. This document will include all the technical decisions related to the Service.</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For security reasons, only people identified as Authorized Contact are allowed to collaborate with our Cegeka SOC. Only they can interact with the Cegeka SOC. All other persons will automatically be prevented and will be notified towards the Customer. These are also the people who will receive the monthly report. The Authorized Contacts will be formalized in the Customer Scoping document . Any new Security Incident will result in a notification towards the customer Operational Contact (s). If any blocking issues prevents Cegeka from continuing the Service as agreed, an escalation towards the customer Escalation Contact will be done. The Operational &amp; Escalation contact(s) will be formalized in the Customer Scoping document . At the end of the MDR Service, Cegeka retains the right to: At the end of the MDR Service, the customer retains the right to: At the end of the MDR Service, the customer has thirty (30) days from the date of termination to retain the right to:</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