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The Managed Detection &amp; Response (MDR) services can be delivered through different technological types: Each Service will start with the Transition Service(s) to bring it into production which will start the Run Services. The Transition Services consists of two (2) types: After the transition, the Managed Services will start which consist of three (3) types: The following table consists of a high-level overview of the Transition &amp; Run services: Managed Detection &amp; Response for Vectra IA Type NETWORK IDENTITY Scope Per IP Per User DETECTION Advanced Threat Intelligence x x Threat Hunting 24x7 Security Monitoring RESPONSE Threat Response x x Cyber Security Advisory PLATFORM License Management Configuration &amp; Release management x x Health Monitoring User Management TRANSITION Technical Implementation x x Operational Readiness x x</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The goal of the technical implementation is to implement all technical measures as stated in the Statement of Work. Cegeka will perform the following activities during the technical implementation: For Cegeka to be able to effectively perform the technical implementation, the customer is responsible for: The technical implementation will be formalized on a per project base in a Technical Design document. This document will include all the technical decisions related to the Service.</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For security reasons, only people identified as Authorized Contact are allowed to collaborate with our Cegeka SOC. Only they can interact with the Cegeka SOC. All other persons will automatically be prevented and will be notified towards the Customer. These are also the people who will receive the monthly report. The Authorized Contacts will be formalized in the Customer Scoping document . Any new Security Incident will result in a notification towards the customer Operational Contact (s). If any blocking issues prevents Cegeka from continuing the Service as agreed, an escalation towards the customer Escalation Contact will be done. The Operational &amp; Escalation contact(s) will be formalized in the Customer Scoping document . At the end of the MDR Service, Cegeka retains the right to: At the end of the MDR Service, the customer retains the right to: At the end of the MDR Service, the customer has thirty (30) days from the date of termination to retain the right to:</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