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The Service Window is the time frame during which the agreed support services from Cegeka are available. Service windows are defined in the related Service Level Management document to this contract.</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VUL_HIER_IN</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VUL_HIER_IN</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Everything that is not explicitly mentioned in this service description is by default out of scope of this Service. Certain LAN Switches have network modules or network management functionality (e.g. load balancing, firewall, blade server, virtual chassis, etc.). The management of such functionality is not included in the LAN Service.</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This service supports the following products:</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Service Levels of the cross-functional services are defined in the related Service Level Management document to this contract. The service is handled according to the cross-functional services. The availability of the service is guaranteed by the incident handling SLA’s (resolve times).</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