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Priorities P1 P2 P3 P4 Service Window 24x7 Office Hours Office Hours Office Hours Response time 1 hour N.a. N.a. N.a. Resolve Time &lt; 4 hours &lt; 8 hours &lt; 24 hours &lt;40 hours RFC type Standard Type 1 Type 2 Type 3 Type 4 Implementation time Pre-defined per standard change Need-by date Need-by date Need-by date Need-by date Impact analysis and financial proposal NA 5 working days 5 working days 5 working days 5 working days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Requests related to this Service can be ordered and will result in the execution of that request by means of a Cegeka change order. Each request has a throughput time to deliver the request (after approval or pre-approval on the customer’s CAB). Service request id Service request Throughput time Not applicable Not applicable Not applicable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