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Operational changes NOT in scope The service does not cover operational changes on customer request. These changes will be charged in time and material. Example operational changes include but are not limited to:</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n/a</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KPI’s are provided for the Service: KPI ID KPI name Availability Service Window Metric KPI.4.5.006.AVAIL Availability 24/7 Monthly: 99,5% Yearly (sliding window): 99,9% KPI.4.5.006.MTBF Mean time between failures 24/7 6 months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