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VUL_HIER_IN</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Cegeka has built a unique and tailored monitoring solution that offers a clear view on the performance and availability of this service. It also keeps track of historical data allowing to visualize trends. Additionally, several components of the infrastructure make us of a ‘call home’ function that will be triggered in case of a technical issue.</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included in this service description is by default out of scope.</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This section describes which service level agreements are applicable for this service Incidents, related to this Service have a priority of P3 by default. The following table indicates which types of incidents have a higher priority. INCIDENT Priority Production unavailable for multiple users P1 Non-production unavailable for multiple users P2 Incidents are resolved with the following time frames: PRioriy WINDOW MAX RESOLUTIOn TIME P1 Service Hours &lt;  4 hours P2 Cegeka Office Hours &lt;  8 hours P3 Cegeka Office Hours &lt;  24 hours P4 Cegeka Office Hours &lt;  48 hours The resolution time measurement is based on the incident tickets, registered in the Cegeka ITSM. For P3 and P4 incidents, a minimum of 20 incidents must be registered in order for the resolution time measurements to be valid. RPO RTO For service levels that include dual setup systems, the target system will be available within the timeframe of the previous switch test time plus 50%. Service levels that include single setup systems have an RTO that is equal to the time of the yearly restore test plus 50%. Architecture RTO (hours) RPO (hours) Single lpar Last restore time + 50% 24 hours Dual lpar Last switch test time + 50% Last transaction</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