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Changes are billed on a monthly basis. Changes as result of Pre-approved and normal Service requests are billed according to the defined prices in the pricing document of the related contact. Non-standard change requests are billed on T&amp;M basis.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Everything that is not explicitly mentioned in this service description is by default out of scope of this Service. Specifically: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It is mandatory to use the License Compliance platform to be able to report on installed software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Service Levels of the cross-functional services are defined in the related Service Level Management document to this contract. Availability The following Availability KPI’s are provided for the Service: KPI ID KPI name Availability Service Window Metric KPI.0.136.Bronze TAM Bronze Bronze % availability in Service Window KPI.0.136.Silver TAM Silver Silver % availability in Service Window KPI.0.136.Gold TAM Gold Gold % availability in Service Window The availability measurement is monthly and calculated as: (Total time of service window of the measured period – time of outage based on Cegeka infrastructure monitoring during the measured period) / Total time of service window of the measured period) * 100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