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id SERVICE REQUEST TYPE SERVICE REQUEST BILLING method (*) approval method (**) STANDARD CHANGE None STANDARDIZED CHANGE None non STANDARD CHANGE Non Standard Change Install / Update Global Secure Access Client version T&amp;M Approval/CAB Non Standard Change Remove / Rollback Global Secure Access Client version T&amp;M Approval/CAB Non Standard Change Create Security Profile T&amp;M Approval/CAB Non Standard Change Update Security Profile T&amp;M Approval/CAB Non Standard Change Remove Security Profile T&amp;M Approval/CAB Non Standard Change Create Web Content Filtering Rule T&amp;M Approval/CAB Non Standard Change Update Web Content Filtering Rule T&amp;M Approval/CAB Non Standard Change Remove Web Content Filtering Rule T&amp;M Approval/CAB Non Standard Change Create Connector Group T&amp;M Approval/CAB Non Standard Change Install and add new Connector T&amp;M Approval/CAB Non Standard Change Update Connector(s) T&amp;M Approval/CAB Non Standard Change Create Application T&amp;M Approval/CAB Non Standard Change Grant Access to existing Application T&amp;M Approval/CAB Non Standard Change Remove Access to existing Application T&amp;M Approval/CAB Non Standard Change Remove Application T&amp;M Approval/CAB Non Standard Change Remove and delete Connector T&amp;M Approval/CAB Non Standard Change Remove Connector Group T&amp;M Approval/CAB (*) Billing Method : (**) Approval Method: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Everything that is not explicitly mentioned in this service description is by default out of scope.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Measurement The quantity of each billing element is determined on a mentioned monthly basis, on the 1 st day of the month: Calculation / Billing The price(s) is/are determined in the pricing schedule where this Service is residing. The Service is billed per billing element: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