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rapid rise of remote work and the emergence of hybrid workplaces have highlighted the need for organizations to adapt their working styles. One of the key priorities is to ensure a seamless and enhanced collaboration experience that fosters greater engagement and efficiency in the Digital Workplace. As a result, there has been an accelerated adoption of cloud platforms like Microsoft Teams and SharePoint. However, it has become evident that organizations often focus primarily on technical training for end users, neglecting the importance of addressing new ways of working and associated best practices. Consequently, users find themselves lost within the ecosystem, struggling to navigate the solutions in a desired and manageable manner. In some cases, users resort to ad hoc methods that may not align with governance, structure, and security requirements, potentially leading to mistakes with adverse implications. From an end user perspective, it is crucial to offer a user-friendly process for requesting collaboration workspaces where team members can easily exchange documents, communicate, and access information. If this process becomes cumbersome, users may revert to familiar private context tools such as Dropbox, inadvertently engaging in shadow-IT practices that pose security and management risks for the organization. Therefore, it is essential to provide a solution that aligns with organizational policies while still delivering efficiency gains for end users. Additionally, platform administrators often encounter challenges when it comes to managing the lifecycle of workspaces. Frequently, workspaces continue to exist even when they are no longer needed, such as completed projects, disbanded teams, or merged departments. It can be difficult for administrators to control this, as the responsibility lies with the workspace owner.</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