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12"/>
        </w:numPr>
        <w:spacing w:before="0" w:after="160"/>
        <w:contextualSpacing/>
        <w:jc w:val="both"/>
        <w:rPr>
          <w:b/>
          <w:bCs/>
        </w:rPr>
      </w:pPr>
      <w:r>
        <w:rPr>
          <w:rFonts w:eastAsia="Calibri" w:cs="" w:ascii="Calibri" w:hAnsi="Calibri" w:asciiTheme="minorAscii" w:cstheme="minorBidi" w:eastAsiaTheme="minorAscii" w:hAnsiTheme="minorAscii"/>
          <w:b/>
          <w:bCs/>
          <w:color w:val="auto"/>
          <w:sz w:val="22"/>
          <w:szCs w:val="22"/>
          <w:lang w:val="cs-CZ" w:eastAsia="en-US" w:bidi="ar-SA"/>
        </w:rPr>
        <w:t>Prvotní prozkoumání dat</w:t>
      </w:r>
    </w:p>
    <w:p>
      <w:pPr>
        <w:pStyle w:val="ListParagraph"/>
        <w:spacing w:beforeAutospacing="0" w:before="240" w:afterAutospacing="0" w:after="240"/>
        <w:ind w:start="720"/>
        <w:contextualSpacing/>
        <w:rPr>
          <w:lang w:val="cs-CZ"/>
        </w:rPr>
      </w:pPr>
      <w:r>
        <w:rPr>
          <w:rFonts w:eastAsia="Calibri" w:cs="" w:ascii="Calibri" w:hAnsi="Calibri" w:asciiTheme="minorAscii" w:cstheme="minorBidi" w:eastAsiaTheme="minorAscii" w:hAnsiTheme="minorAscii"/>
          <w:color w:val="auto"/>
          <w:sz w:val="22"/>
          <w:szCs w:val="22"/>
          <w:lang w:val="cs-CZ" w:eastAsia="en-US" w:bidi="ar-SA"/>
        </w:rPr>
        <w:t>Nejprve byla provedena základní kontrola dat: kontrola typů proměnných, kontrola duplicit, kontrola chybějících hodnot.</w:t>
      </w:r>
    </w:p>
    <w:p>
      <w:pPr>
        <w:pStyle w:val="ListParagraph"/>
        <w:spacing w:beforeAutospacing="0" w:before="240" w:afterAutospacing="0" w:after="240"/>
        <w:ind w:start="720"/>
        <w:contextualSpacing/>
        <w:rPr>
          <w:lang w:val="cs-CZ"/>
        </w:rPr>
      </w:pPr>
      <w:r>
        <w:rPr>
          <w:rFonts w:eastAsia="Calibri" w:cs="" w:ascii="Calibri" w:hAnsi="Calibri" w:asciiTheme="minorAscii" w:cstheme="minorBidi" w:eastAsiaTheme="minorAscii" w:hAnsiTheme="minorAscii"/>
          <w:color w:val="auto"/>
          <w:sz w:val="22"/>
          <w:szCs w:val="22"/>
          <w:lang w:val="cs-CZ" w:eastAsia="en-US" w:bidi="ar-SA"/>
        </w:rPr>
        <w:t>Výsledky ukázaly, že: proměnné jsou kvantitativní, neobsahují chybějící hodnoty, datový soubor je kompletní a vhodný k další analýze.</w:t>
      </w:r>
    </w:p>
    <w:p>
      <w:pPr>
        <w:pStyle w:val="ListParagraph"/>
        <w:numPr>
          <w:ilvl w:val="0"/>
          <w:numId w:val="12"/>
        </w:numPr>
        <w:suppressLineNumbers w:val="0"/>
        <w:bidi w:val="0"/>
        <w:spacing w:lineRule="auto" w:line="259" w:beforeAutospacing="0" w:before="0" w:afterAutospacing="0" w:after="160"/>
        <w:ind w:hanging="360" w:start="720" w:end="0"/>
        <w:contextualSpacing/>
        <w:jc w:val="both"/>
        <w:rPr>
          <w:rFonts w:ascii="Calibri" w:hAnsi="Calibri" w:eastAsia="Calibri" w:cs="" w:asciiTheme="minorAscii" w:cstheme="minorBidi" w:eastAsiaTheme="minorAscii" w:hAnsiTheme="minorAscii"/>
          <w:b/>
          <w:bCs/>
          <w:color w:val="auto"/>
          <w:sz w:val="22"/>
          <w:szCs w:val="22"/>
          <w:lang w:val="cs-CZ" w:eastAsia="en-US" w:bidi="ar-SA"/>
        </w:rPr>
      </w:pPr>
      <w:r>
        <w:rPr>
          <w:rFonts w:eastAsia="Calibri" w:cs="" w:ascii="Calibri" w:hAnsi="Calibri" w:asciiTheme="minorAscii" w:cstheme="minorBidi" w:eastAsiaTheme="minorAscii" w:hAnsiTheme="minorAscii"/>
          <w:b/>
          <w:bCs/>
          <w:color w:val="auto"/>
          <w:sz w:val="22"/>
          <w:szCs w:val="22"/>
          <w:lang w:val="cs-CZ" w:eastAsia="en-US" w:bidi="ar-SA"/>
        </w:rPr>
        <w:t>Výběr kvantitativních proměnných</w:t>
      </w:r>
    </w:p>
    <w:p>
      <w:pPr>
        <w:pStyle w:val="ListParagraph"/>
        <w:spacing w:beforeAutospacing="0" w:before="240" w:afterAutospacing="0" w:after="240"/>
        <w:ind w:start="720"/>
        <w:contextualSpacing/>
        <w:rPr>
          <w:b w:val="false"/>
          <w:bCs w:val="false"/>
          <w:lang w:val="cs-CZ"/>
        </w:rPr>
      </w:pPr>
      <w:r>
        <w:rPr>
          <w:b w:val="false"/>
          <w:bCs w:val="false"/>
          <w:lang w:val="cs-CZ"/>
        </w:rPr>
        <w:t>Z původního datového rámce byly vybrány pouze běžecké časy (sloupce 2–8), protože faktorová analýza pracuje výhradně s kvantitativními proměnnými.</w:t>
      </w:r>
    </w:p>
    <w:p>
      <w:pPr>
        <w:pStyle w:val="ListParagraph"/>
        <w:numPr>
          <w:ilvl w:val="0"/>
          <w:numId w:val="12"/>
        </w:numPr>
        <w:suppressLineNumbers w:val="0"/>
        <w:bidi w:val="0"/>
        <w:spacing w:lineRule="auto" w:line="259" w:beforeAutospacing="0" w:before="0" w:afterAutospacing="0" w:after="160"/>
        <w:ind w:hanging="360" w:start="720" w:end="0"/>
        <w:contextualSpacing/>
        <w:jc w:val="both"/>
        <w:rPr>
          <w:rFonts w:ascii="Calibri" w:hAnsi="Calibri" w:eastAsia="Calibri" w:cs="" w:asciiTheme="minorAscii" w:cstheme="minorBidi" w:eastAsiaTheme="minorAscii" w:hAnsiTheme="minorAscii"/>
          <w:b/>
          <w:bCs/>
          <w:color w:val="auto"/>
          <w:sz w:val="22"/>
          <w:szCs w:val="22"/>
          <w:lang w:val="cs-CZ" w:eastAsia="en-US" w:bidi="ar-SA"/>
        </w:rPr>
      </w:pPr>
      <w:r>
        <w:rPr>
          <w:rFonts w:eastAsia="Calibri" w:cs="" w:ascii="Calibri" w:hAnsi="Calibri" w:asciiTheme="minorAscii" w:cstheme="minorBidi" w:eastAsiaTheme="minorAscii" w:hAnsiTheme="minorAscii"/>
          <w:b/>
          <w:bCs/>
          <w:color w:val="auto"/>
          <w:sz w:val="22"/>
          <w:szCs w:val="22"/>
          <w:lang w:val="cs-CZ" w:eastAsia="en-US" w:bidi="ar-SA"/>
        </w:rPr>
        <w:t>Detekce odlehlých pozorování (Mahalanobisova vzdálenost)</w:t>
      </w:r>
    </w:p>
    <w:p>
      <w:pPr>
        <w:pStyle w:val="ListParagraph"/>
        <w:spacing w:beforeAutospacing="0" w:before="240" w:afterAutospacing="0" w:after="240"/>
        <w:ind w:start="720"/>
        <w:contextualSpacing/>
        <w:rPr>
          <w:b w:val="false"/>
          <w:bCs w:val="false"/>
          <w:lang w:val="cs-CZ"/>
        </w:rPr>
      </w:pPr>
      <w:r>
        <w:rPr>
          <w:b w:val="false"/>
          <w:bCs w:val="false"/>
          <w:lang w:val="cs-CZ"/>
        </w:rPr>
        <w:t>Byla vypočtena Mahalanobisova vzdálenost, která umožňuje zachytit vícerozměrná odlehlá pozorování. Tím vznikl očištěný datový soubor, vhodný pro faktorovou analýzu.</w:t>
      </w:r>
    </w:p>
    <w:p>
      <w:pPr>
        <w:pStyle w:val="ListParagraph"/>
        <w:spacing w:beforeAutospacing="0" w:before="240" w:afterAutospacing="0" w:after="240"/>
        <w:ind w:start="720"/>
        <w:contextualSpacing/>
        <w:rPr/>
      </w:pPr>
      <w:r>
        <w:rPr/>
        <w:drawing>
          <wp:inline distT="0" distB="0" distL="0" distR="0">
            <wp:extent cx="3837305" cy="226187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3837305" cy="2261870"/>
                    </a:xfrm>
                    <a:prstGeom prst="rect">
                      <a:avLst/>
                    </a:prstGeom>
                    <a:noFill/>
                  </pic:spPr>
                </pic:pic>
              </a:graphicData>
            </a:graphic>
          </wp:inline>
        </w:drawing>
      </w:r>
    </w:p>
    <w:p>
      <w:pPr>
        <w:pStyle w:val="ListParagraph"/>
        <w:numPr>
          <w:ilvl w:val="0"/>
          <w:numId w:val="12"/>
        </w:numPr>
        <w:suppressLineNumbers w:val="0"/>
        <w:bidi w:val="0"/>
        <w:spacing w:lineRule="auto" w:line="259" w:beforeAutospacing="0" w:before="0" w:afterAutospacing="0" w:after="160"/>
        <w:ind w:hanging="360" w:start="720" w:end="0"/>
        <w:contextualSpacing/>
        <w:jc w:val="both"/>
        <w:rPr>
          <w:rFonts w:ascii="Calibri" w:hAnsi="Calibri" w:eastAsia="Calibri" w:cs="" w:asciiTheme="minorAscii" w:cstheme="minorBidi" w:eastAsiaTheme="minorAscii" w:hAnsiTheme="minorAscii"/>
          <w:b/>
          <w:bCs/>
          <w:color w:val="auto"/>
          <w:sz w:val="22"/>
          <w:szCs w:val="22"/>
          <w:lang w:val="cs-CZ" w:eastAsia="en-US" w:bidi="ar-SA"/>
        </w:rPr>
      </w:pPr>
      <w:r>
        <w:rPr>
          <w:rFonts w:eastAsia="Calibri" w:cs="" w:ascii="Calibri" w:hAnsi="Calibri" w:asciiTheme="minorAscii" w:cstheme="minorBidi" w:eastAsiaTheme="minorAscii" w:hAnsiTheme="minorAscii"/>
          <w:b/>
          <w:bCs/>
          <w:color w:val="auto"/>
          <w:sz w:val="22"/>
          <w:szCs w:val="22"/>
          <w:lang w:val="cs-CZ" w:eastAsia="en-US" w:bidi="ar-SA"/>
        </w:rPr>
        <w:t>Ověření faktorovatelnosti dat</w:t>
      </w:r>
    </w:p>
    <w:p>
      <w:pPr>
        <w:pStyle w:val="ListParagraph"/>
        <w:numPr>
          <w:ilvl w:val="0"/>
          <w:numId w:val="11"/>
        </w:numPr>
        <w:spacing w:beforeAutospacing="0" w:before="240" w:afterAutospacing="0" w:after="240"/>
        <w:contextualSpacing/>
        <w:rPr>
          <w:b w:val="false"/>
          <w:bCs w:val="false"/>
          <w:lang w:val="cs-CZ"/>
        </w:rPr>
      </w:pPr>
      <w:r>
        <w:rPr>
          <w:b w:val="false"/>
          <w:bCs w:val="false"/>
          <w:lang w:val="cs-CZ"/>
        </w:rPr>
        <w:t>Korelační matice</w:t>
      </w:r>
    </w:p>
    <w:p>
      <w:pPr>
        <w:pStyle w:val="ListParagraph"/>
        <w:numPr>
          <w:ilvl w:val="0"/>
          <w:numId w:val="10"/>
        </w:numPr>
        <w:spacing w:beforeAutospacing="0" w:before="240" w:afterAutospacing="0" w:after="0"/>
        <w:contextualSpacing/>
        <w:rPr>
          <w:b w:val="false"/>
          <w:bCs w:val="false"/>
          <w:lang w:val="cs-CZ"/>
        </w:rPr>
      </w:pPr>
      <w:r>
        <w:rPr>
          <w:b w:val="false"/>
          <w:bCs w:val="false"/>
          <w:lang w:val="cs-CZ"/>
        </w:rPr>
        <w:t>většina korelací je vyšší než 0,5,</w:t>
      </w:r>
    </w:p>
    <w:p>
      <w:pPr>
        <w:pStyle w:val="ListParagraph"/>
        <w:numPr>
          <w:ilvl w:val="0"/>
          <w:numId w:val="10"/>
        </w:numPr>
        <w:spacing w:beforeAutospacing="0" w:before="0" w:afterAutospacing="0" w:after="240"/>
        <w:contextualSpacing/>
        <w:rPr>
          <w:b w:val="false"/>
          <w:bCs w:val="false"/>
          <w:lang w:val="cs-CZ"/>
        </w:rPr>
      </w:pPr>
      <w:r>
        <w:rPr>
          <w:b w:val="false"/>
          <w:bCs w:val="false"/>
          <w:lang w:val="cs-CZ"/>
        </w:rPr>
        <w:t>determinant korelační matice je malý, ale nenulový.</w:t>
      </w:r>
    </w:p>
    <w:p>
      <w:pPr>
        <w:pStyle w:val="ListParagraph"/>
        <w:spacing w:beforeAutospacing="0" w:before="240" w:afterAutospacing="0" w:after="240"/>
        <w:ind w:start="1428"/>
        <w:contextualSpacing/>
        <w:rPr>
          <w:b w:val="false"/>
          <w:bCs w:val="false"/>
          <w:lang w:val="cs-CZ"/>
        </w:rPr>
      </w:pPr>
      <w:r>
        <w:rPr>
          <w:b w:val="false"/>
          <w:bCs w:val="false"/>
          <w:lang w:val="cs-CZ"/>
        </w:rPr>
        <w:t xml:space="preserve">➡ </w:t>
      </w:r>
      <w:r>
        <w:rPr>
          <w:b w:val="false"/>
          <w:bCs w:val="false"/>
          <w:lang w:val="cs-CZ"/>
        </w:rPr>
        <w:t>Proměnné jsou dostatečně vzájemně závislé.</w:t>
      </w:r>
    </w:p>
    <w:p>
      <w:pPr>
        <w:pStyle w:val="Normal"/>
        <w:spacing w:beforeAutospacing="0" w:before="240" w:afterAutospacing="0" w:after="240"/>
        <w:ind w:start="1080"/>
        <w:rPr>
          <w:b w:val="false"/>
          <w:bCs w:val="false"/>
        </w:rPr>
      </w:pPr>
      <w:r>
        <w:rPr/>
        <w:drawing>
          <wp:inline distT="0" distB="0" distL="0" distR="0">
            <wp:extent cx="2777490" cy="25304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777490" cy="2530475"/>
                    </a:xfrm>
                    <a:prstGeom prst="rect">
                      <a:avLst/>
                    </a:prstGeom>
                    <a:noFill/>
                  </pic:spPr>
                </pic:pic>
              </a:graphicData>
            </a:graphic>
          </wp:inline>
        </w:drawing>
      </w:r>
      <w:r>
        <w:rPr/>
        <w:drawing>
          <wp:inline distT="0" distB="0" distL="0" distR="0">
            <wp:extent cx="1562100" cy="3460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1562100" cy="346075"/>
                    </a:xfrm>
                    <a:prstGeom prst="rect">
                      <a:avLst/>
                    </a:prstGeom>
                    <a:noFill/>
                  </pic:spPr>
                </pic:pic>
              </a:graphicData>
            </a:graphic>
          </wp:inline>
        </w:drawing>
      </w:r>
    </w:p>
    <w:p>
      <w:pPr>
        <w:pStyle w:val="ListParagraph"/>
        <w:numPr>
          <w:ilvl w:val="0"/>
          <w:numId w:val="11"/>
        </w:numPr>
        <w:spacing w:beforeAutospacing="0" w:before="240" w:afterAutospacing="0" w:after="240"/>
        <w:contextualSpacing/>
        <w:rPr>
          <w:b w:val="false"/>
          <w:bCs w:val="false"/>
        </w:rPr>
      </w:pPr>
      <w:r>
        <w:rPr>
          <w:b w:val="false"/>
          <w:bCs w:val="false"/>
        </w:rPr>
        <w:t>Anti-image correlation matrix diagonals</w:t>
      </w:r>
    </w:p>
    <w:p>
      <w:pPr>
        <w:pStyle w:val="ListParagraph"/>
        <w:numPr>
          <w:ilvl w:val="0"/>
          <w:numId w:val="9"/>
        </w:numPr>
        <w:spacing w:beforeAutospacing="0" w:before="240" w:afterAutospacing="0" w:after="240"/>
        <w:contextualSpacing/>
        <w:rPr>
          <w:b w:val="false"/>
          <w:bCs w:val="false"/>
          <w:lang w:val="cs-CZ"/>
        </w:rPr>
      </w:pPr>
      <w:r>
        <w:rPr>
          <w:b w:val="false"/>
          <w:bCs w:val="false"/>
          <w:lang w:val="cs-CZ"/>
        </w:rPr>
        <w:t>diagonální prvky = 1 (≫ 0,5).</w:t>
      </w:r>
    </w:p>
    <w:p>
      <w:pPr>
        <w:pStyle w:val="ListParagraph"/>
        <w:spacing w:beforeAutospacing="0" w:before="240" w:afterAutospacing="0" w:after="240"/>
        <w:ind w:start="1440"/>
        <w:contextualSpacing/>
        <w:rPr>
          <w:b w:val="false"/>
          <w:bCs w:val="false"/>
          <w:lang w:val="cs-CZ"/>
        </w:rPr>
      </w:pPr>
      <w:r>
        <w:rPr>
          <w:b w:val="false"/>
          <w:bCs w:val="false"/>
          <w:lang w:val="cs-CZ"/>
        </w:rPr>
        <w:t xml:space="preserve">➡ </w:t>
      </w:r>
      <w:r>
        <w:rPr>
          <w:b w:val="false"/>
          <w:bCs w:val="false"/>
          <w:lang w:val="cs-CZ"/>
        </w:rPr>
        <w:t>Každá proměnná je vhodná pro faktorovou analýzu.</w:t>
      </w:r>
    </w:p>
    <w:p>
      <w:pPr>
        <w:pStyle w:val="Normal"/>
        <w:spacing w:beforeAutospacing="0" w:before="240" w:afterAutospacing="0" w:after="240"/>
        <w:ind w:start="1080"/>
        <w:rPr>
          <w:b w:val="false"/>
          <w:bCs w:val="false"/>
        </w:rPr>
      </w:pPr>
      <w:r>
        <w:rPr/>
        <w:drawing>
          <wp:inline distT="0" distB="0" distL="0" distR="0">
            <wp:extent cx="4494530" cy="19240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494530" cy="1924050"/>
                    </a:xfrm>
                    <a:prstGeom prst="rect">
                      <a:avLst/>
                    </a:prstGeom>
                    <a:noFill/>
                  </pic:spPr>
                </pic:pic>
              </a:graphicData>
            </a:graphic>
          </wp:inline>
        </w:drawing>
      </w:r>
    </w:p>
    <w:p>
      <w:pPr>
        <w:pStyle w:val="ListParagraph"/>
        <w:numPr>
          <w:ilvl w:val="0"/>
          <w:numId w:val="11"/>
        </w:numPr>
        <w:spacing w:beforeAutospacing="0" w:before="240" w:afterAutospacing="0" w:after="240"/>
        <w:contextualSpacing/>
        <w:rPr>
          <w:b w:val="false"/>
          <w:bCs w:val="false"/>
          <w:lang w:val="cs-CZ"/>
        </w:rPr>
      </w:pPr>
      <w:r>
        <w:rPr>
          <w:b w:val="false"/>
          <w:bCs w:val="false"/>
          <w:lang w:val="cs-CZ"/>
        </w:rPr>
        <w:t>Kaiser–Meyer–Olkin (KMO) test</w:t>
      </w:r>
    </w:p>
    <w:p>
      <w:pPr>
        <w:pStyle w:val="ListParagraph"/>
        <w:numPr>
          <w:ilvl w:val="0"/>
          <w:numId w:val="8"/>
        </w:numPr>
        <w:spacing w:beforeAutospacing="0" w:before="240" w:afterAutospacing="0" w:after="240"/>
        <w:contextualSpacing/>
        <w:rPr>
          <w:b w:val="false"/>
          <w:bCs w:val="false"/>
          <w:lang w:val="cs-CZ"/>
        </w:rPr>
      </w:pPr>
      <w:r>
        <w:rPr>
          <w:b w:val="false"/>
          <w:bCs w:val="false"/>
          <w:lang w:val="cs-CZ"/>
        </w:rPr>
        <w:t>KMO ≈ 0,84</w:t>
      </w:r>
    </w:p>
    <w:p>
      <w:pPr>
        <w:pStyle w:val="ListParagraph"/>
        <w:spacing w:beforeAutospacing="0" w:before="240" w:afterAutospacing="0" w:after="240"/>
        <w:ind w:start="1440"/>
        <w:contextualSpacing/>
        <w:rPr>
          <w:b w:val="false"/>
          <w:bCs w:val="false"/>
        </w:rPr>
      </w:pPr>
      <w:r>
        <w:rPr>
          <w:b w:val="false"/>
          <w:bCs w:val="false"/>
          <w:lang w:val="cs-CZ"/>
        </w:rPr>
        <w:t xml:space="preserve">➡ </w:t>
      </w:r>
      <w:r>
        <w:rPr>
          <w:b w:val="false"/>
          <w:bCs w:val="false"/>
          <w:lang w:val="cs-CZ"/>
        </w:rPr>
        <w:t>Hodnota výrazně nad 0,5. Velmi dobrá vhodnost dat.</w:t>
      </w:r>
    </w:p>
    <w:p>
      <w:pPr>
        <w:pStyle w:val="ListParagraph"/>
        <w:spacing w:beforeAutospacing="0" w:before="240" w:afterAutospacing="0" w:after="240"/>
        <w:ind w:start="1440"/>
        <w:contextualSpacing/>
        <w:rPr>
          <w:b w:val="false"/>
          <w:bCs w:val="false"/>
        </w:rPr>
      </w:pPr>
      <w:r>
        <w:rPr>
          <w:b w:val="false"/>
          <w:bCs w:val="false"/>
        </w:rPr>
      </w:r>
    </w:p>
    <w:p>
      <w:pPr>
        <w:pStyle w:val="Normal"/>
        <w:spacing w:beforeAutospacing="0" w:before="240" w:afterAutospacing="0" w:after="240"/>
        <w:ind w:start="1080"/>
        <w:rPr>
          <w:b w:val="false"/>
          <w:bCs w:val="false"/>
        </w:rPr>
      </w:pPr>
      <w:r>
        <w:rPr/>
        <w:drawing>
          <wp:inline distT="0" distB="0" distL="0" distR="0">
            <wp:extent cx="4337050" cy="136207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337050" cy="1362075"/>
                    </a:xfrm>
                    <a:prstGeom prst="rect">
                      <a:avLst/>
                    </a:prstGeom>
                    <a:noFill/>
                  </pic:spPr>
                </pic:pic>
              </a:graphicData>
            </a:graphic>
          </wp:inline>
        </w:drawing>
      </w:r>
    </w:p>
    <w:p>
      <w:pPr>
        <w:pStyle w:val="ListParagraph"/>
        <w:numPr>
          <w:ilvl w:val="0"/>
          <w:numId w:val="11"/>
        </w:numPr>
        <w:spacing w:beforeAutospacing="0" w:before="240" w:afterAutospacing="0" w:after="240"/>
        <w:contextualSpacing/>
        <w:rPr>
          <w:b w:val="false"/>
          <w:bCs w:val="false"/>
          <w:lang w:val="cs-CZ"/>
        </w:rPr>
      </w:pPr>
      <w:r>
        <w:rPr>
          <w:b w:val="false"/>
          <w:bCs w:val="false"/>
          <w:lang w:val="cs-CZ"/>
        </w:rPr>
        <w:t>Bartlettův test sféricity</w:t>
      </w:r>
    </w:p>
    <w:p>
      <w:pPr>
        <w:pStyle w:val="ListParagraph"/>
        <w:numPr>
          <w:ilvl w:val="0"/>
          <w:numId w:val="7"/>
        </w:numPr>
        <w:spacing w:beforeAutospacing="0" w:before="240" w:afterAutospacing="0" w:after="240"/>
        <w:contextualSpacing/>
        <w:rPr>
          <w:b w:val="false"/>
          <w:bCs w:val="false"/>
          <w:lang w:val="cs-CZ"/>
        </w:rPr>
      </w:pPr>
      <w:r>
        <w:rPr>
          <w:b w:val="false"/>
          <w:bCs w:val="false"/>
          <w:lang w:val="cs-CZ"/>
        </w:rPr>
        <w:t>p-hodnota &lt; 0,05</w:t>
      </w:r>
    </w:p>
    <w:p>
      <w:pPr>
        <w:pStyle w:val="ListParagraph"/>
        <w:spacing w:beforeAutospacing="0" w:before="240" w:afterAutospacing="0" w:after="240"/>
        <w:ind w:start="1440"/>
        <w:contextualSpacing/>
        <w:rPr>
          <w:b w:val="false"/>
          <w:bCs w:val="false"/>
          <w:lang w:val="cs-CZ"/>
        </w:rPr>
      </w:pPr>
      <w:r>
        <w:rPr>
          <w:b w:val="false"/>
          <w:bCs w:val="false"/>
          <w:lang w:val="cs-CZ"/>
        </w:rPr>
        <w:t xml:space="preserve">➡ </w:t>
      </w:r>
      <w:r>
        <w:rPr>
          <w:b w:val="false"/>
          <w:bCs w:val="false"/>
          <w:lang w:val="cs-CZ"/>
        </w:rPr>
        <w:t>Zamítáme hypotézu, že korelační matice je jednotková. Existují významné vztahy mezi proměnnými.</w:t>
      </w:r>
    </w:p>
    <w:p>
      <w:pPr>
        <w:pStyle w:val="Normal"/>
        <w:spacing w:beforeAutospacing="0" w:before="240" w:afterAutospacing="0" w:after="240"/>
        <w:ind w:start="1080"/>
        <w:rPr>
          <w:b w:val="false"/>
          <w:bCs w:val="false"/>
        </w:rPr>
      </w:pPr>
      <w:r>
        <w:rPr/>
        <w:drawing>
          <wp:inline distT="0" distB="0" distL="0" distR="0">
            <wp:extent cx="2314575" cy="13239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2314575" cy="1323975"/>
                    </a:xfrm>
                    <a:prstGeom prst="rect">
                      <a:avLst/>
                    </a:prstGeom>
                    <a:noFill/>
                  </pic:spPr>
                </pic:pic>
              </a:graphicData>
            </a:graphic>
          </wp:inline>
        </w:drawing>
      </w:r>
    </w:p>
    <w:p>
      <w:pPr>
        <w:pStyle w:val="ListParagraph"/>
        <w:numPr>
          <w:ilvl w:val="0"/>
          <w:numId w:val="11"/>
        </w:numPr>
        <w:spacing w:beforeAutospacing="0" w:before="240" w:afterAutospacing="0" w:after="240"/>
        <w:contextualSpacing/>
        <w:rPr>
          <w:b w:val="false"/>
          <w:bCs w:val="false"/>
          <w:lang w:val="cs-CZ"/>
        </w:rPr>
      </w:pPr>
      <w:r>
        <w:rPr>
          <w:b w:val="false"/>
          <w:bCs w:val="false"/>
          <w:lang w:val="cs-CZ"/>
        </w:rPr>
        <w:t>Poměr počtu pozorování k proměnným</w:t>
      </w:r>
    </w:p>
    <w:p>
      <w:pPr>
        <w:pStyle w:val="ListParagraph"/>
        <w:numPr>
          <w:ilvl w:val="0"/>
          <w:numId w:val="6"/>
        </w:numPr>
        <w:spacing w:beforeAutospacing="0" w:before="240" w:afterAutospacing="0" w:after="240"/>
        <w:contextualSpacing/>
        <w:rPr>
          <w:b w:val="false"/>
          <w:bCs w:val="false"/>
          <w:lang w:val="cs-CZ"/>
        </w:rPr>
      </w:pPr>
      <w:r>
        <w:rPr>
          <w:b w:val="false"/>
          <w:bCs w:val="false"/>
          <w:lang w:val="cs-CZ"/>
        </w:rPr>
        <w:t>n / k ≈ 7,3</w:t>
      </w:r>
    </w:p>
    <w:p>
      <w:pPr>
        <w:pStyle w:val="ListParagraph"/>
        <w:spacing w:beforeAutospacing="0" w:before="240" w:afterAutospacing="0" w:after="240"/>
        <w:ind w:start="1440"/>
        <w:contextualSpacing/>
        <w:rPr>
          <w:b w:val="false"/>
          <w:bCs w:val="false"/>
          <w:lang w:val="cs-CZ"/>
        </w:rPr>
      </w:pPr>
      <w:r>
        <w:rPr>
          <w:b w:val="false"/>
          <w:bCs w:val="false"/>
          <w:lang w:val="cs-CZ"/>
        </w:rPr>
        <w:t xml:space="preserve">➡ </w:t>
      </w:r>
      <w:r>
        <w:rPr>
          <w:b w:val="false"/>
          <w:bCs w:val="false"/>
          <w:lang w:val="cs-CZ"/>
        </w:rPr>
        <w:t>Splněno doporučení (min. 5× více pozorování než proměnných).</w:t>
      </w:r>
    </w:p>
    <w:p>
      <w:pPr>
        <w:pStyle w:val="Normal"/>
        <w:rPr/>
      </w:pPr>
      <w:r>
        <w:rPr/>
      </w:r>
      <w:r>
        <w:br w:type="page"/>
      </w:r>
    </w:p>
    <w:p>
      <w:pPr>
        <w:pStyle w:val="ListParagraph"/>
        <w:numPr>
          <w:ilvl w:val="0"/>
          <w:numId w:val="12"/>
        </w:numPr>
        <w:spacing w:beforeAutospacing="0" w:before="0" w:afterAutospacing="0" w:after="240"/>
        <w:contextualSpacing/>
        <w:rPr>
          <w:rFonts w:ascii="Calibri" w:hAnsi="Calibri" w:eastAsia="Calibri" w:cs="" w:asciiTheme="minorAscii" w:cstheme="minorBidi" w:eastAsiaTheme="minorAscii" w:hAnsiTheme="minorAscii"/>
          <w:b/>
          <w:bCs/>
          <w:color w:val="auto"/>
          <w:sz w:val="22"/>
          <w:szCs w:val="22"/>
          <w:lang w:val="cs-CZ" w:eastAsia="en-US" w:bidi="ar-SA"/>
        </w:rPr>
      </w:pPr>
      <w:r>
        <w:rPr>
          <w:rFonts w:eastAsia="Calibri" w:cs="" w:ascii="Calibri" w:hAnsi="Calibri" w:asciiTheme="minorAscii" w:cstheme="minorBidi" w:eastAsiaTheme="minorAscii" w:hAnsiTheme="minorAscii"/>
          <w:b/>
          <w:bCs/>
          <w:color w:val="auto"/>
          <w:sz w:val="22"/>
          <w:szCs w:val="22"/>
          <w:lang w:val="cs-CZ" w:eastAsia="en-US" w:bidi="ar-SA"/>
        </w:rPr>
        <w:t>Určení počtu faktorů</w:t>
      </w:r>
    </w:p>
    <w:p>
      <w:pPr>
        <w:pStyle w:val="ListParagraph"/>
        <w:spacing w:beforeAutospacing="0" w:before="240" w:afterAutospacing="0" w:after="240"/>
        <w:ind w:hanging="0" w:start="720"/>
        <w:contextualSpacing/>
        <w:rPr>
          <w:b w:val="false"/>
          <w:bCs w:val="false"/>
          <w:lang w:val="cs-CZ"/>
        </w:rPr>
      </w:pPr>
      <w:r>
        <w:rPr>
          <w:b w:val="false"/>
          <w:bCs w:val="false"/>
          <w:lang w:val="cs-CZ"/>
        </w:rPr>
        <w:t>Bylo použito několik přístupů:</w:t>
      </w:r>
    </w:p>
    <w:p>
      <w:pPr>
        <w:pStyle w:val="ListParagraph"/>
        <w:numPr>
          <w:ilvl w:val="0"/>
          <w:numId w:val="5"/>
        </w:numPr>
        <w:spacing w:beforeAutospacing="0" w:before="240" w:afterAutospacing="0" w:after="240"/>
        <w:contextualSpacing/>
        <w:rPr>
          <w:b w:val="false"/>
          <w:bCs w:val="false"/>
          <w:lang w:val="cs-CZ"/>
        </w:rPr>
      </w:pPr>
      <w:r>
        <w:rPr>
          <w:b w:val="false"/>
          <w:bCs w:val="false"/>
          <w:lang w:val="cs-CZ"/>
        </w:rPr>
        <w:t>vlastní čísla korelační matice (Kaiserovo kritérium).</w:t>
      </w:r>
    </w:p>
    <w:p>
      <w:pPr>
        <w:pStyle w:val="ListParagraph"/>
        <w:spacing w:beforeAutospacing="0" w:before="240" w:afterAutospacing="0" w:after="240"/>
        <w:ind w:start="1068"/>
        <w:contextualSpacing/>
        <w:rPr>
          <w:b w:val="false"/>
          <w:bCs w:val="false"/>
          <w:lang w:val="cs-CZ"/>
        </w:rPr>
      </w:pPr>
      <w:r>
        <w:rPr>
          <w:b w:val="false"/>
          <w:bCs w:val="false"/>
          <w:lang w:val="cs-CZ"/>
        </w:rPr>
        <w:t>Kaiserovo kritérium navrhuje zachovat pouze ty faktory s vlastními čísly většími než 1. V našem případě bychom měli pouze 1 faktor (protože ostatní mají vlastní čísla &lt;1), ale použijeme 2 nebo 3.</w:t>
      </w:r>
    </w:p>
    <w:p>
      <w:pPr>
        <w:pStyle w:val="ListParagraph"/>
        <w:spacing w:beforeAutospacing="0" w:before="240" w:afterAutospacing="0" w:after="240"/>
        <w:ind w:start="1068"/>
        <w:contextualSpacing/>
        <w:rPr>
          <w:b w:val="false"/>
          <w:bCs w:val="false"/>
        </w:rPr>
      </w:pPr>
      <w:r>
        <w:rPr/>
        <w:drawing>
          <wp:inline distT="0" distB="0" distL="0" distR="0">
            <wp:extent cx="4914900" cy="50355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914900" cy="503555"/>
                    </a:xfrm>
                    <a:prstGeom prst="rect">
                      <a:avLst/>
                    </a:prstGeom>
                    <a:noFill/>
                  </pic:spPr>
                </pic:pic>
              </a:graphicData>
            </a:graphic>
          </wp:inline>
        </w:drawing>
      </w:r>
    </w:p>
    <w:p>
      <w:pPr>
        <w:pStyle w:val="ListParagraph"/>
        <w:numPr>
          <w:ilvl w:val="0"/>
          <w:numId w:val="5"/>
        </w:numPr>
        <w:spacing w:beforeAutospacing="0" w:before="240" w:afterAutospacing="0" w:after="240"/>
        <w:contextualSpacing/>
        <w:rPr>
          <w:b w:val="false"/>
          <w:bCs w:val="false"/>
          <w:lang w:val="cs-CZ"/>
        </w:rPr>
      </w:pPr>
      <w:r>
        <w:rPr>
          <w:b w:val="false"/>
          <w:bCs w:val="false"/>
          <w:lang w:val="cs-CZ"/>
        </w:rPr>
        <w:t>scree plot</w:t>
      </w:r>
    </w:p>
    <w:p>
      <w:pPr>
        <w:pStyle w:val="ListParagraph"/>
        <w:spacing w:beforeAutospacing="0" w:before="240" w:afterAutospacing="0" w:after="240"/>
        <w:ind w:start="1068"/>
        <w:contextualSpacing/>
        <w:rPr>
          <w:b w:val="false"/>
          <w:bCs w:val="false"/>
        </w:rPr>
      </w:pPr>
      <w:r>
        <w:rPr/>
        <w:drawing>
          <wp:inline distT="0" distB="0" distL="0" distR="0">
            <wp:extent cx="4579620" cy="25812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579620" cy="2581275"/>
                    </a:xfrm>
                    <a:prstGeom prst="rect">
                      <a:avLst/>
                    </a:prstGeom>
                    <a:noFill/>
                  </pic:spPr>
                </pic:pic>
              </a:graphicData>
            </a:graphic>
          </wp:inline>
        </w:drawing>
      </w:r>
    </w:p>
    <w:p>
      <w:pPr>
        <w:pStyle w:val="ListParagraph"/>
        <w:numPr>
          <w:ilvl w:val="0"/>
          <w:numId w:val="5"/>
        </w:numPr>
        <w:spacing w:beforeAutospacing="0" w:before="240" w:afterAutospacing="0" w:after="240"/>
        <w:contextualSpacing/>
        <w:rPr>
          <w:b w:val="false"/>
          <w:bCs w:val="false"/>
          <w:lang w:val="cs-CZ"/>
        </w:rPr>
      </w:pPr>
      <w:r>
        <w:rPr>
          <w:b w:val="false"/>
          <w:bCs w:val="false"/>
          <w:lang w:val="cs-CZ"/>
        </w:rPr>
        <w:t>paralelní analýza</w:t>
      </w:r>
    </w:p>
    <w:p>
      <w:pPr>
        <w:pStyle w:val="ListParagraph"/>
        <w:spacing w:beforeAutospacing="0" w:before="240" w:afterAutospacing="0" w:after="240"/>
        <w:ind w:start="1068"/>
        <w:contextualSpacing/>
        <w:rPr>
          <w:b w:val="false"/>
          <w:bCs w:val="false"/>
        </w:rPr>
      </w:pPr>
      <w:r>
        <w:rPr/>
        <w:drawing>
          <wp:inline distT="0" distB="0" distL="0" distR="0">
            <wp:extent cx="4777105" cy="32766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777105" cy="3276600"/>
                    </a:xfrm>
                    <a:prstGeom prst="rect">
                      <a:avLst/>
                    </a:prstGeom>
                    <a:noFill/>
                  </pic:spPr>
                </pic:pic>
              </a:graphicData>
            </a:graphic>
          </wp:inline>
        </w:drawing>
      </w:r>
    </w:p>
    <w:p>
      <w:pPr>
        <w:pStyle w:val="ListParagraph"/>
        <w:numPr>
          <w:ilvl w:val="0"/>
          <w:numId w:val="5"/>
        </w:numPr>
        <w:spacing w:beforeAutospacing="0" w:before="240" w:afterAutospacing="0" w:after="240"/>
        <w:contextualSpacing/>
        <w:rPr>
          <w:b w:val="false"/>
          <w:bCs w:val="false"/>
          <w:lang w:val="cs-CZ"/>
        </w:rPr>
      </w:pPr>
      <w:r>
        <w:rPr>
          <w:b w:val="false"/>
          <w:bCs w:val="false"/>
          <w:lang w:val="cs-CZ"/>
        </w:rPr>
        <w:t>PCA</w:t>
      </w:r>
    </w:p>
    <w:p>
      <w:pPr>
        <w:pStyle w:val="ListParagraph"/>
        <w:spacing w:beforeAutospacing="0" w:before="240" w:afterAutospacing="0" w:after="240"/>
        <w:ind w:start="1068"/>
        <w:contextualSpacing/>
        <w:rPr>
          <w:b w:val="false"/>
          <w:bCs w:val="false"/>
        </w:rPr>
      </w:pPr>
      <w:r>
        <w:rPr/>
        <w:drawing>
          <wp:inline distT="0" distB="0" distL="0" distR="0">
            <wp:extent cx="4543425" cy="66865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543425" cy="668655"/>
                    </a:xfrm>
                    <a:prstGeom prst="rect">
                      <a:avLst/>
                    </a:prstGeom>
                    <a:noFill/>
                  </pic:spPr>
                </pic:pic>
              </a:graphicData>
            </a:graphic>
          </wp:inline>
        </w:drawing>
      </w:r>
    </w:p>
    <w:p>
      <w:pPr>
        <w:pStyle w:val="ListParagraph"/>
        <w:spacing w:beforeAutospacing="0" w:before="240" w:afterAutospacing="0" w:after="240"/>
        <w:ind w:firstLine="348" w:start="720"/>
        <w:contextualSpacing/>
        <w:rPr>
          <w:b w:val="false"/>
          <w:bCs w:val="false"/>
          <w:lang w:val="cs-CZ"/>
        </w:rPr>
      </w:pPr>
      <w:r>
        <w:rPr>
          <w:b w:val="false"/>
          <w:bCs w:val="false"/>
          <w:lang w:val="cs-CZ"/>
        </w:rPr>
      </w:r>
    </w:p>
    <w:p>
      <w:pPr>
        <w:pStyle w:val="ListParagraph"/>
        <w:spacing w:beforeAutospacing="0" w:before="240" w:afterAutospacing="0" w:after="240"/>
        <w:ind w:hanging="0" w:start="720"/>
        <w:contextualSpacing/>
        <w:rPr>
          <w:b w:val="false"/>
          <w:bCs w:val="false"/>
          <w:lang w:val="cs-CZ"/>
        </w:rPr>
      </w:pPr>
      <w:r>
        <w:rPr>
          <w:b w:val="false"/>
          <w:bCs w:val="false"/>
          <w:lang w:val="cs-CZ"/>
        </w:rPr>
        <w:t xml:space="preserve">➡ </w:t>
      </w:r>
      <w:r>
        <w:rPr>
          <w:b w:val="false"/>
          <w:bCs w:val="false"/>
          <w:lang w:val="cs-CZ"/>
        </w:rPr>
        <w:t>Výsledky naznačily, že 2 faktory mohou být nedostatečné, zatímco 3 faktory jsou optimální kompromis mezi vysvětleným rozptylem a interpretovatelností. (Vyzkoušíme obě varianty)</w:t>
      </w:r>
    </w:p>
    <w:p>
      <w:pPr>
        <w:pStyle w:val="ListParagraph"/>
        <w:spacing w:beforeAutospacing="0" w:before="240" w:afterAutospacing="0" w:after="240"/>
        <w:ind w:hanging="0" w:start="720"/>
        <w:contextualSpacing/>
        <w:rPr>
          <w:lang w:val="cs-CZ"/>
        </w:rPr>
      </w:pPr>
      <w:r>
        <w:rPr>
          <w:lang w:val="cs-CZ"/>
        </w:rPr>
      </w:r>
    </w:p>
    <w:p>
      <w:pPr>
        <w:pStyle w:val="ListParagraph"/>
        <w:numPr>
          <w:ilvl w:val="0"/>
          <w:numId w:val="12"/>
        </w:numPr>
        <w:suppressLineNumbers w:val="0"/>
        <w:bidi w:val="0"/>
        <w:spacing w:lineRule="auto" w:line="259" w:beforeAutospacing="0" w:before="0" w:afterAutospacing="0" w:after="160"/>
        <w:ind w:hanging="360" w:start="720" w:end="0"/>
        <w:contextualSpacing/>
        <w:jc w:val="both"/>
        <w:rPr>
          <w:rFonts w:ascii="Calibri" w:hAnsi="Calibri" w:eastAsia="Calibri" w:cs="" w:asciiTheme="minorAscii" w:cstheme="minorBidi" w:eastAsiaTheme="minorAscii" w:hAnsiTheme="minorAscii"/>
          <w:b/>
          <w:bCs/>
          <w:color w:val="auto"/>
          <w:sz w:val="22"/>
          <w:szCs w:val="22"/>
          <w:lang w:val="cs-CZ" w:eastAsia="en-US" w:bidi="ar-SA"/>
        </w:rPr>
      </w:pPr>
      <w:r>
        <w:rPr>
          <w:rFonts w:eastAsia="Calibri" w:cs="" w:ascii="Calibri" w:hAnsi="Calibri" w:asciiTheme="minorAscii" w:cstheme="minorBidi" w:eastAsiaTheme="minorAscii" w:hAnsiTheme="minorAscii"/>
          <w:b/>
          <w:bCs/>
          <w:color w:val="auto"/>
          <w:sz w:val="22"/>
          <w:szCs w:val="22"/>
          <w:lang w:val="cs-CZ" w:eastAsia="en-US" w:bidi="ar-SA"/>
        </w:rPr>
        <w:t>Faktorová analýza – 2 faktory (kontrolní krok)</w:t>
      </w:r>
    </w:p>
    <w:p>
      <w:pPr>
        <w:pStyle w:val="ListParagraph"/>
        <w:spacing w:beforeAutospacing="0" w:before="240" w:afterAutospacing="0" w:after="240"/>
        <w:ind w:start="720"/>
        <w:contextualSpacing/>
        <w:rPr>
          <w:b w:val="false"/>
          <w:bCs w:val="false"/>
          <w:lang w:val="cs-CZ"/>
        </w:rPr>
      </w:pPr>
      <w:r>
        <w:rPr>
          <w:b w:val="false"/>
          <w:bCs w:val="false"/>
          <w:lang w:val="cs-CZ"/>
        </w:rPr>
        <w:t>Po varimax rotaci:</w:t>
      </w:r>
    </w:p>
    <w:p>
      <w:pPr>
        <w:pStyle w:val="ListParagraph"/>
        <w:numPr>
          <w:ilvl w:val="0"/>
          <w:numId w:val="4"/>
        </w:numPr>
        <w:spacing w:beforeAutospacing="0" w:before="240" w:afterAutospacing="0" w:after="0"/>
        <w:contextualSpacing/>
        <w:rPr>
          <w:b w:val="false"/>
          <w:bCs w:val="false"/>
          <w:lang w:val="cs-CZ"/>
        </w:rPr>
      </w:pPr>
      <w:r>
        <w:rPr>
          <w:b w:val="false"/>
          <w:bCs w:val="false"/>
          <w:lang w:val="cs-CZ"/>
        </w:rPr>
        <w:t>Faktor 1 vysvětluje 0,46 variance</w:t>
      </w:r>
    </w:p>
    <w:p>
      <w:pPr>
        <w:pStyle w:val="ListParagraph"/>
        <w:numPr>
          <w:ilvl w:val="0"/>
          <w:numId w:val="4"/>
        </w:numPr>
        <w:spacing w:beforeAutospacing="0" w:before="0" w:afterAutospacing="0" w:after="0"/>
        <w:contextualSpacing/>
        <w:rPr>
          <w:b w:val="false"/>
          <w:bCs w:val="false"/>
          <w:lang w:val="cs-CZ"/>
        </w:rPr>
      </w:pPr>
      <w:r>
        <w:rPr>
          <w:b w:val="false"/>
          <w:bCs w:val="false"/>
          <w:lang w:val="cs-CZ"/>
        </w:rPr>
        <w:t>Faktor 2 vysvětluje 0,35 variance</w:t>
      </w:r>
    </w:p>
    <w:p>
      <w:pPr>
        <w:pStyle w:val="ListParagraph"/>
        <w:numPr>
          <w:ilvl w:val="0"/>
          <w:numId w:val="4"/>
        </w:numPr>
        <w:spacing w:beforeAutospacing="0" w:before="0" w:afterAutospacing="0" w:after="0"/>
        <w:contextualSpacing/>
        <w:rPr>
          <w:b w:val="false"/>
          <w:bCs w:val="false"/>
          <w:lang w:val="cs-CZ"/>
        </w:rPr>
      </w:pPr>
      <w:r>
        <w:rPr>
          <w:b w:val="false"/>
          <w:bCs w:val="false"/>
          <w:lang w:val="cs-CZ"/>
        </w:rPr>
        <w:t>Celkem 0,81 vysvětlené variance</w:t>
      </w:r>
    </w:p>
    <w:p>
      <w:pPr>
        <w:pStyle w:val="ListParagraph"/>
        <w:numPr>
          <w:ilvl w:val="0"/>
          <w:numId w:val="4"/>
        </w:numPr>
        <w:spacing w:beforeAutospacing="0" w:before="0" w:afterAutospacing="0" w:after="0"/>
        <w:contextualSpacing/>
        <w:rPr>
          <w:b w:val="false"/>
          <w:bCs w:val="false"/>
          <w:lang w:val="cs-CZ"/>
        </w:rPr>
      </w:pPr>
      <w:r>
        <w:rPr>
          <w:b w:val="false"/>
          <w:bCs w:val="false"/>
          <w:lang w:val="cs-CZ"/>
        </w:rPr>
        <w:t>některé proměnné měly vysoké unikátnosti,</w:t>
      </w:r>
    </w:p>
    <w:p>
      <w:pPr>
        <w:pStyle w:val="ListParagraph"/>
        <w:numPr>
          <w:ilvl w:val="0"/>
          <w:numId w:val="4"/>
        </w:numPr>
        <w:spacing w:beforeAutospacing="0" w:before="0" w:afterAutospacing="0" w:after="240"/>
        <w:contextualSpacing/>
        <w:rPr>
          <w:b w:val="false"/>
          <w:bCs w:val="false"/>
          <w:lang w:val="cs-CZ"/>
        </w:rPr>
      </w:pPr>
      <w:r>
        <w:rPr>
          <w:b w:val="false"/>
          <w:bCs w:val="false"/>
          <w:lang w:val="cs-CZ"/>
        </w:rPr>
        <w:t>p-hodnota testu dostatečnosti faktorů byla &lt; 0,05.</w:t>
      </w:r>
    </w:p>
    <w:p>
      <w:pPr>
        <w:pStyle w:val="Normal"/>
        <w:spacing w:beforeAutospacing="0" w:before="240" w:afterAutospacing="0" w:after="240"/>
        <w:ind w:start="720"/>
        <w:rPr>
          <w:lang w:val="cs-CZ"/>
        </w:rPr>
      </w:pPr>
      <w:r>
        <w:rPr>
          <w:lang w:val="cs-CZ"/>
        </w:rPr>
        <w:t xml:space="preserve">➡ </w:t>
      </w:r>
      <w:r>
        <w:rPr>
          <w:b/>
          <w:bCs/>
          <w:lang w:val="cs-CZ"/>
        </w:rPr>
        <w:t>2 faktory nejsou dostačující</w:t>
      </w:r>
      <w:r>
        <w:rPr>
          <w:lang w:val="cs-CZ"/>
        </w:rPr>
        <w:t>.</w:t>
      </w:r>
    </w:p>
    <w:p>
      <w:pPr>
        <w:pStyle w:val="Normal"/>
        <w:spacing w:beforeAutospacing="0" w:before="240" w:afterAutospacing="0" w:after="240"/>
        <w:ind w:start="720"/>
        <w:rPr/>
      </w:pPr>
      <w:r>
        <w:rPr/>
        <w:drawing>
          <wp:inline distT="0" distB="0" distL="0" distR="0">
            <wp:extent cx="5229860" cy="36480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229860" cy="3648075"/>
                    </a:xfrm>
                    <a:prstGeom prst="rect">
                      <a:avLst/>
                    </a:prstGeom>
                    <a:noFill/>
                  </pic:spPr>
                </pic:pic>
              </a:graphicData>
            </a:graphic>
          </wp:inline>
        </w:drawing>
      </w:r>
    </w:p>
    <w:p>
      <w:pPr>
        <w:pStyle w:val="ListParagraph"/>
        <w:suppressLineNumbers w:val="0"/>
        <w:bidi w:val="0"/>
        <w:spacing w:lineRule="auto" w:line="259" w:beforeAutospacing="0" w:before="0" w:afterAutospacing="0" w:after="160"/>
        <w:ind w:hanging="360" w:start="720" w:end="0"/>
        <w:contextualSpacing/>
        <w:jc w:val="both"/>
        <w:rPr>
          <w:rFonts w:ascii="Calibri" w:hAnsi="Calibri" w:eastAsia="Calibri" w:cs="" w:asciiTheme="minorAscii" w:cstheme="minorBidi" w:eastAsiaTheme="minorAscii" w:hAnsiTheme="minorAscii"/>
          <w:b/>
          <w:bCs/>
          <w:color w:val="auto"/>
          <w:sz w:val="22"/>
          <w:szCs w:val="22"/>
          <w:lang w:val="cs-CZ" w:eastAsia="en-US" w:bidi="ar-SA"/>
        </w:rPr>
      </w:pPr>
      <w:r>
        <w:rPr>
          <w:rFonts w:eastAsia="Calibri" w:cs="" w:cstheme="minorBidi" w:eastAsiaTheme="minorAscii" w:ascii="Calibri" w:hAnsi="Calibri"/>
          <w:b/>
          <w:bCs/>
          <w:color w:val="auto"/>
          <w:sz w:val="22"/>
          <w:szCs w:val="22"/>
          <w:lang w:val="cs-CZ" w:eastAsia="en-US" w:bidi="ar-SA"/>
        </w:rPr>
      </w:r>
    </w:p>
    <w:p>
      <w:pPr>
        <w:pStyle w:val="Normal"/>
        <w:rPr/>
      </w:pPr>
      <w:r>
        <w:rPr/>
      </w:r>
      <w:r>
        <w:br w:type="page"/>
      </w:r>
    </w:p>
    <w:p>
      <w:pPr>
        <w:pStyle w:val="ListParagraph"/>
        <w:numPr>
          <w:ilvl w:val="0"/>
          <w:numId w:val="12"/>
        </w:numPr>
        <w:suppressLineNumbers w:val="0"/>
        <w:bidi w:val="0"/>
        <w:spacing w:lineRule="auto" w:line="259" w:beforeAutospacing="0" w:before="0" w:afterAutospacing="0" w:after="160"/>
        <w:ind w:hanging="360" w:start="720" w:end="0"/>
        <w:contextualSpacing/>
        <w:jc w:val="both"/>
        <w:rPr>
          <w:rFonts w:ascii="Calibri" w:hAnsi="Calibri" w:eastAsia="Calibri" w:cs="" w:asciiTheme="minorAscii" w:cstheme="minorBidi" w:eastAsiaTheme="minorAscii" w:hAnsiTheme="minorAscii"/>
          <w:b/>
          <w:bCs/>
          <w:color w:val="auto"/>
          <w:sz w:val="22"/>
          <w:szCs w:val="22"/>
          <w:lang w:val="cs-CZ" w:eastAsia="en-US" w:bidi="ar-SA"/>
        </w:rPr>
      </w:pPr>
      <w:r>
        <w:rPr>
          <w:rFonts w:eastAsia="Calibri" w:cs="" w:ascii="Calibri" w:hAnsi="Calibri" w:asciiTheme="minorAscii" w:cstheme="minorBidi" w:eastAsiaTheme="minorAscii" w:hAnsiTheme="minorAscii"/>
          <w:b/>
          <w:bCs/>
          <w:color w:val="auto"/>
          <w:sz w:val="22"/>
          <w:szCs w:val="22"/>
          <w:lang w:val="cs-CZ" w:eastAsia="en-US" w:bidi="ar-SA"/>
        </w:rPr>
        <w:t>Faktorová analýza – 3 faktory</w:t>
      </w:r>
    </w:p>
    <w:p>
      <w:pPr>
        <w:pStyle w:val="ListParagraph"/>
        <w:spacing w:beforeAutospacing="0" w:before="240" w:afterAutospacing="0" w:after="240"/>
        <w:ind w:start="720"/>
        <w:contextualSpacing/>
        <w:rPr>
          <w:b w:val="false"/>
          <w:bCs w:val="false"/>
          <w:lang w:val="cs-CZ"/>
        </w:rPr>
      </w:pPr>
      <w:r>
        <w:rPr>
          <w:b w:val="false"/>
          <w:bCs w:val="false"/>
          <w:lang w:val="cs-CZ"/>
        </w:rPr>
        <w:t>Byla provedena faktorová analýza:</w:t>
      </w:r>
    </w:p>
    <w:p>
      <w:pPr>
        <w:pStyle w:val="ListParagraph"/>
        <w:numPr>
          <w:ilvl w:val="0"/>
          <w:numId w:val="3"/>
        </w:numPr>
        <w:spacing w:beforeAutospacing="0" w:before="240" w:afterAutospacing="0" w:after="0"/>
        <w:contextualSpacing/>
        <w:rPr>
          <w:b w:val="false"/>
          <w:bCs w:val="false"/>
          <w:lang w:val="cs-CZ"/>
        </w:rPr>
      </w:pPr>
      <w:r>
        <w:rPr>
          <w:b w:val="false"/>
          <w:bCs w:val="false"/>
          <w:lang w:val="cs-CZ"/>
        </w:rPr>
        <w:t>metodou maximální věrohodnosti,</w:t>
      </w:r>
    </w:p>
    <w:p>
      <w:pPr>
        <w:pStyle w:val="ListParagraph"/>
        <w:numPr>
          <w:ilvl w:val="0"/>
          <w:numId w:val="3"/>
        </w:numPr>
        <w:spacing w:beforeAutospacing="0" w:before="0" w:afterAutospacing="0" w:after="240"/>
        <w:contextualSpacing/>
        <w:rPr>
          <w:b w:val="false"/>
          <w:bCs w:val="false"/>
          <w:lang w:val="cs-CZ"/>
        </w:rPr>
      </w:pPr>
      <w:r>
        <w:rPr>
          <w:b w:val="false"/>
          <w:bCs w:val="false"/>
          <w:lang w:val="cs-CZ"/>
        </w:rPr>
        <w:t>s rotací varimax (ortogonální) i oblimin (šikmá).</w:t>
      </w:r>
    </w:p>
    <w:p>
      <w:pPr>
        <w:pStyle w:val="ListParagraph"/>
        <w:spacing w:beforeAutospacing="0" w:before="240" w:afterAutospacing="0" w:after="240"/>
        <w:ind w:start="720"/>
        <w:contextualSpacing/>
        <w:rPr>
          <w:b w:val="false"/>
          <w:bCs w:val="false"/>
          <w:lang w:val="cs-CZ"/>
        </w:rPr>
      </w:pPr>
      <w:r>
        <w:rPr>
          <w:b w:val="false"/>
          <w:bCs w:val="false"/>
          <w:lang w:val="cs-CZ"/>
        </w:rPr>
        <w:t>Po varimax rotaci:</w:t>
      </w:r>
    </w:p>
    <w:p>
      <w:pPr>
        <w:pStyle w:val="ListParagraph"/>
        <w:numPr>
          <w:ilvl w:val="0"/>
          <w:numId w:val="2"/>
        </w:numPr>
        <w:spacing w:beforeAutospacing="0" w:before="240" w:afterAutospacing="0" w:after="0"/>
        <w:contextualSpacing/>
        <w:rPr>
          <w:b w:val="false"/>
          <w:bCs w:val="false"/>
          <w:lang w:val="cs-CZ"/>
        </w:rPr>
      </w:pPr>
      <w:r>
        <w:rPr>
          <w:b w:val="false"/>
          <w:bCs w:val="false"/>
          <w:lang w:val="cs-CZ"/>
        </w:rPr>
        <w:t>Faktor 1 vysvětluje 0,34 variance</w:t>
      </w:r>
    </w:p>
    <w:p>
      <w:pPr>
        <w:pStyle w:val="ListParagraph"/>
        <w:numPr>
          <w:ilvl w:val="0"/>
          <w:numId w:val="2"/>
        </w:numPr>
        <w:spacing w:beforeAutospacing="0" w:before="0" w:afterAutospacing="0" w:after="0"/>
        <w:contextualSpacing/>
        <w:rPr>
          <w:b w:val="false"/>
          <w:bCs w:val="false"/>
          <w:lang w:val="cs-CZ"/>
        </w:rPr>
      </w:pPr>
      <w:r>
        <w:rPr>
          <w:b w:val="false"/>
          <w:bCs w:val="false"/>
          <w:lang w:val="cs-CZ"/>
        </w:rPr>
        <w:t>Faktor 2 vysvětluje 0,32 variance</w:t>
      </w:r>
    </w:p>
    <w:p>
      <w:pPr>
        <w:pStyle w:val="ListParagraph"/>
        <w:numPr>
          <w:ilvl w:val="0"/>
          <w:numId w:val="2"/>
        </w:numPr>
        <w:spacing w:beforeAutospacing="0" w:before="0" w:afterAutospacing="0" w:after="0"/>
        <w:contextualSpacing/>
        <w:rPr>
          <w:b w:val="false"/>
          <w:bCs w:val="false"/>
          <w:lang w:val="cs-CZ"/>
        </w:rPr>
      </w:pPr>
      <w:r>
        <w:rPr>
          <w:b w:val="false"/>
          <w:bCs w:val="false"/>
          <w:lang w:val="cs-CZ"/>
        </w:rPr>
        <w:t>Faktor 3 vysvětluje 0,20 variance</w:t>
      </w:r>
    </w:p>
    <w:p>
      <w:pPr>
        <w:pStyle w:val="ListParagraph"/>
        <w:numPr>
          <w:ilvl w:val="0"/>
          <w:numId w:val="2"/>
        </w:numPr>
        <w:spacing w:beforeAutospacing="0" w:before="0" w:afterAutospacing="0" w:after="240"/>
        <w:contextualSpacing/>
        <w:rPr>
          <w:b w:val="false"/>
          <w:bCs w:val="false"/>
          <w:lang w:val="cs-CZ"/>
        </w:rPr>
      </w:pPr>
      <w:r>
        <w:rPr>
          <w:b w:val="false"/>
          <w:bCs w:val="false"/>
          <w:lang w:val="cs-CZ"/>
        </w:rPr>
        <w:t>Celkem 0,86 vysvětlené variance</w:t>
      </w:r>
    </w:p>
    <w:p>
      <w:pPr>
        <w:pStyle w:val="Normal"/>
        <w:spacing w:beforeAutospacing="0" w:before="240" w:afterAutospacing="0" w:after="240"/>
        <w:ind w:start="720"/>
        <w:rPr>
          <w:b w:val="false"/>
          <w:bCs w:val="false"/>
          <w:lang w:val="cs-CZ"/>
        </w:rPr>
      </w:pPr>
      <w:r>
        <w:rPr>
          <w:b w:val="false"/>
          <w:bCs w:val="false"/>
          <w:lang w:val="cs-CZ"/>
        </w:rPr>
        <w:t>Test dostatečnosti: p-hodnota ≈ 0,45</w:t>
      </w:r>
    </w:p>
    <w:p>
      <w:pPr>
        <w:pStyle w:val="Normal"/>
        <w:spacing w:beforeAutospacing="0" w:before="240" w:afterAutospacing="0" w:after="240"/>
        <w:ind w:firstLine="708"/>
        <w:rPr/>
      </w:pPr>
      <w:r>
        <w:rPr>
          <w:lang w:val="cs-CZ"/>
        </w:rPr>
        <w:t xml:space="preserve">➡ </w:t>
      </w:r>
      <w:r>
        <w:rPr>
          <w:b w:val="false"/>
          <w:bCs w:val="false"/>
          <w:lang w:val="cs-CZ"/>
        </w:rPr>
        <w:t>Počet faktorů je dostatečný.</w:t>
      </w:r>
    </w:p>
    <w:p>
      <w:pPr>
        <w:pStyle w:val="Normal"/>
        <w:spacing w:beforeAutospacing="0" w:before="240" w:afterAutospacing="0" w:after="240"/>
        <w:ind w:firstLine="708"/>
        <w:rPr/>
      </w:pPr>
      <w:r>
        <w:rPr/>
        <w:drawing>
          <wp:inline distT="0" distB="0" distL="0" distR="0">
            <wp:extent cx="4418965" cy="28702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4418965" cy="2870200"/>
                    </a:xfrm>
                    <a:prstGeom prst="rect">
                      <a:avLst/>
                    </a:prstGeom>
                    <a:noFill/>
                  </pic:spPr>
                </pic:pic>
              </a:graphicData>
            </a:graphic>
          </wp:inline>
        </w:drawing>
      </w:r>
    </w:p>
    <w:p>
      <w:pPr>
        <w:pStyle w:val="Normal"/>
        <w:spacing w:beforeAutospacing="0" w:before="240" w:afterAutospacing="0" w:after="240"/>
        <w:ind w:firstLine="708"/>
        <w:rPr/>
      </w:pPr>
      <w:r>
        <w:rPr/>
        <w:drawing>
          <wp:inline distT="0" distB="0" distL="0" distR="0">
            <wp:extent cx="3736340" cy="258127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3736340" cy="2581275"/>
                    </a:xfrm>
                    <a:prstGeom prst="rect">
                      <a:avLst/>
                    </a:prstGeom>
                    <a:noFill/>
                  </pic:spPr>
                </pic:pic>
              </a:graphicData>
            </a:graphic>
          </wp:inline>
        </w:drawing>
      </w:r>
    </w:p>
    <w:p>
      <w:pPr>
        <w:pStyle w:val="Normal"/>
        <w:rPr/>
      </w:pPr>
      <w:r>
        <w:rPr/>
      </w:r>
      <w:r>
        <w:br w:type="page"/>
      </w:r>
    </w:p>
    <w:p>
      <w:pPr>
        <w:pStyle w:val="ListParagraph"/>
        <w:numPr>
          <w:ilvl w:val="0"/>
          <w:numId w:val="12"/>
        </w:numPr>
        <w:spacing w:beforeAutospacing="0" w:before="0" w:afterAutospacing="0" w:after="240"/>
        <w:contextualSpacing/>
        <w:rPr>
          <w:rFonts w:ascii="Calibri" w:hAnsi="Calibri" w:eastAsia="Calibri" w:cs="" w:asciiTheme="minorAscii" w:cstheme="minorBidi" w:eastAsiaTheme="minorAscii" w:hAnsiTheme="minorAscii"/>
          <w:b/>
          <w:bCs/>
          <w:color w:val="auto"/>
          <w:sz w:val="22"/>
          <w:szCs w:val="22"/>
          <w:lang w:val="cs-CZ" w:eastAsia="en-US" w:bidi="ar-SA"/>
        </w:rPr>
      </w:pPr>
      <w:r>
        <w:rPr>
          <w:rFonts w:eastAsia="Calibri" w:cs="" w:ascii="Calibri" w:hAnsi="Calibri" w:asciiTheme="minorAscii" w:cstheme="minorBidi" w:eastAsiaTheme="minorAscii" w:hAnsiTheme="minorAscii"/>
          <w:b/>
          <w:bCs/>
          <w:color w:val="auto"/>
          <w:sz w:val="22"/>
          <w:szCs w:val="22"/>
          <w:lang w:val="cs-CZ" w:eastAsia="en-US" w:bidi="ar-SA"/>
        </w:rPr>
        <w:t>Porovnání Oblimin a Varimax rotací</w:t>
      </w:r>
    </w:p>
    <w:p>
      <w:pPr>
        <w:pStyle w:val="ListParagraph"/>
        <w:numPr>
          <w:ilvl w:val="0"/>
          <w:numId w:val="2"/>
        </w:numPr>
        <w:spacing w:beforeAutospacing="0" w:before="240" w:afterAutospacing="0" w:after="240"/>
        <w:contextualSpacing/>
        <w:rPr>
          <w:lang w:val="cs-CZ"/>
        </w:rPr>
      </w:pPr>
      <w:r>
        <w:rPr>
          <w:lang w:val="cs-CZ"/>
        </w:rPr>
        <w:t>Pro interpretaci faktorů byla preferována varimax rotace, protože poskytuje přehlednou a jednoznačnou strukturu faktorových zatížení a umožňuje snadné pojmenování faktorů. Celkem 0,86 vysvětlené variance</w:t>
      </w:r>
    </w:p>
    <w:p>
      <w:pPr>
        <w:pStyle w:val="ListParagraph"/>
        <w:spacing w:beforeAutospacing="0" w:before="240" w:afterAutospacing="0" w:after="240"/>
        <w:ind w:start="720"/>
        <w:contextualSpacing/>
        <w:rPr>
          <w:lang w:val="cs-CZ"/>
        </w:rPr>
      </w:pPr>
      <w:r>
        <w:rPr>
          <w:lang w:val="cs-CZ"/>
        </w:rPr>
      </w:r>
    </w:p>
    <w:p>
      <w:pPr>
        <w:pStyle w:val="ListParagraph"/>
        <w:numPr>
          <w:ilvl w:val="0"/>
          <w:numId w:val="2"/>
        </w:numPr>
        <w:spacing w:beforeAutospacing="0" w:before="240" w:afterAutospacing="0" w:after="240"/>
        <w:contextualSpacing/>
        <w:rPr>
          <w:lang w:val="cs-CZ"/>
        </w:rPr>
      </w:pPr>
      <w:r>
        <w:rPr>
          <w:lang w:val="cs-CZ"/>
        </w:rPr>
        <w:t>Oblimin rotace byla použita jako doplňková analýza. Ukázalo se, že faktory nejsou zcela nezávislé, což odpovídá reálné sportovní výkonnosti. Přesto byla pro finální interpretaci zvolena varimax rotace. Celkem 0,72 vysvětlené variance</w:t>
      </w:r>
    </w:p>
    <w:p>
      <w:pPr>
        <w:pStyle w:val="Normal"/>
        <w:spacing w:beforeAutospacing="0" w:before="240" w:afterAutospacing="0" w:after="240"/>
        <w:ind w:start="708"/>
        <w:rPr/>
      </w:pPr>
      <w:r>
        <w:rPr/>
        <w:drawing>
          <wp:inline distT="0" distB="0" distL="0" distR="0">
            <wp:extent cx="2550795" cy="239141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2550795" cy="2391410"/>
                    </a:xfrm>
                    <a:prstGeom prst="rect">
                      <a:avLst/>
                    </a:prstGeom>
                    <a:noFill/>
                  </pic:spPr>
                </pic:pic>
              </a:graphicData>
            </a:graphic>
          </wp:inline>
        </w:drawing>
      </w:r>
      <w:r>
        <w:rPr/>
        <w:drawing>
          <wp:inline distT="0" distB="0" distL="0" distR="0">
            <wp:extent cx="2541270" cy="252412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2541270" cy="2524125"/>
                    </a:xfrm>
                    <a:prstGeom prst="rect">
                      <a:avLst/>
                    </a:prstGeom>
                    <a:noFill/>
                  </pic:spPr>
                </pic:pic>
              </a:graphicData>
            </a:graphic>
          </wp:inline>
        </w:drawing>
      </w:r>
    </w:p>
    <w:p>
      <w:pPr>
        <w:pStyle w:val="Normal"/>
        <w:spacing w:beforeAutospacing="0" w:before="240" w:afterAutospacing="0" w:after="240"/>
        <w:ind w:start="720"/>
        <w:rPr/>
      </w:pPr>
      <w:r>
        <w:rPr/>
        <w:drawing>
          <wp:inline distT="0" distB="0" distL="0" distR="0">
            <wp:extent cx="2553335" cy="244856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2553335" cy="2448560"/>
                    </a:xfrm>
                    <a:prstGeom prst="rect">
                      <a:avLst/>
                    </a:prstGeom>
                    <a:noFill/>
                  </pic:spPr>
                </pic:pic>
              </a:graphicData>
            </a:graphic>
          </wp:inline>
        </w:drawing>
      </w:r>
      <w:r>
        <w:rPr/>
        <w:drawing>
          <wp:inline distT="0" distB="0" distL="0" distR="0">
            <wp:extent cx="2652395" cy="231838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2652395" cy="2318385"/>
                    </a:xfrm>
                    <a:prstGeom prst="rect">
                      <a:avLst/>
                    </a:prstGeom>
                    <a:noFill/>
                  </pic:spPr>
                </pic:pic>
              </a:graphicData>
            </a:graphic>
          </wp:inline>
        </w:drawing>
      </w:r>
    </w:p>
    <w:p>
      <w:pPr>
        <w:pStyle w:val="ListParagraph"/>
        <w:numPr>
          <w:ilvl w:val="0"/>
          <w:numId w:val="12"/>
        </w:numPr>
        <w:suppressLineNumbers w:val="0"/>
        <w:bidi w:val="0"/>
        <w:spacing w:lineRule="auto" w:line="259" w:beforeAutospacing="0" w:before="0" w:afterAutospacing="0" w:after="160"/>
        <w:ind w:hanging="360" w:start="720" w:end="0"/>
        <w:contextualSpacing/>
        <w:jc w:val="both"/>
        <w:rPr>
          <w:rFonts w:ascii="Calibri" w:hAnsi="Calibri" w:eastAsia="Calibri" w:cs="" w:asciiTheme="minorAscii" w:cstheme="minorBidi" w:eastAsiaTheme="minorAscii" w:hAnsiTheme="minorAscii"/>
          <w:b/>
          <w:bCs/>
          <w:color w:val="auto"/>
          <w:sz w:val="22"/>
          <w:szCs w:val="22"/>
          <w:lang w:val="cs-CZ" w:eastAsia="en-US" w:bidi="ar-SA"/>
        </w:rPr>
      </w:pPr>
      <w:r>
        <w:rPr>
          <w:rFonts w:eastAsia="Calibri" w:cs="" w:ascii="Calibri" w:hAnsi="Calibri" w:asciiTheme="minorAscii" w:cstheme="minorBidi" w:eastAsiaTheme="minorAscii" w:hAnsiTheme="minorAscii"/>
          <w:b/>
          <w:bCs/>
          <w:color w:val="auto"/>
          <w:sz w:val="22"/>
          <w:szCs w:val="22"/>
          <w:lang w:val="cs-CZ" w:eastAsia="en-US" w:bidi="ar-SA"/>
        </w:rPr>
        <w:t>Interpretace a pojmenování faktorů</w:t>
      </w:r>
    </w:p>
    <w:p>
      <w:pPr>
        <w:pStyle w:val="ListParagraph"/>
        <w:spacing w:beforeAutospacing="0" w:before="240" w:afterAutospacing="0" w:after="240"/>
        <w:ind w:start="720"/>
        <w:contextualSpacing/>
        <w:rPr>
          <w:b w:val="false"/>
          <w:bCs w:val="false"/>
          <w:lang w:val="cs-CZ"/>
        </w:rPr>
      </w:pPr>
      <w:r>
        <w:rPr>
          <w:b w:val="false"/>
          <w:bCs w:val="false"/>
          <w:lang w:val="cs-CZ"/>
        </w:rPr>
        <w:t>Na základě faktorových zátěží lze identifikovat tři latentní faktory:</w:t>
      </w:r>
    </w:p>
    <w:p>
      <w:pPr>
        <w:pStyle w:val="ListParagraph"/>
        <w:numPr>
          <w:ilvl w:val="0"/>
          <w:numId w:val="1"/>
        </w:numPr>
        <w:spacing w:beforeAutospacing="0" w:before="240" w:afterAutospacing="0" w:after="240"/>
        <w:contextualSpacing/>
        <w:rPr>
          <w:b w:val="false"/>
          <w:bCs w:val="false"/>
          <w:lang w:val="cs-CZ"/>
        </w:rPr>
      </w:pPr>
      <w:r>
        <w:rPr>
          <w:b w:val="false"/>
          <w:bCs w:val="false"/>
          <w:highlight w:val="yellow"/>
          <w:lang w:val="cs-CZ"/>
        </w:rPr>
        <w:t>Faktor 1</w:t>
      </w:r>
      <w:r>
        <w:rPr>
          <w:b w:val="false"/>
          <w:bCs w:val="false"/>
          <w:lang w:val="cs-CZ"/>
        </w:rPr>
        <w:t xml:space="preserve"> – Střední tratě / rychlostní vytrvalost</w:t>
      </w:r>
    </w:p>
    <w:p>
      <w:pPr>
        <w:pStyle w:val="ListParagraph"/>
        <w:spacing w:beforeAutospacing="0" w:before="240" w:afterAutospacing="0" w:after="240"/>
        <w:ind w:start="1080"/>
        <w:contextualSpacing/>
        <w:rPr>
          <w:b w:val="false"/>
          <w:bCs w:val="false"/>
          <w:lang w:val="cs-CZ"/>
        </w:rPr>
      </w:pPr>
      <w:r>
        <w:rPr>
          <w:b w:val="false"/>
          <w:bCs w:val="false"/>
          <w:lang w:val="cs-CZ"/>
        </w:rPr>
        <w:t>Vysoké zátěže: 400 m, 800 m, 1500 m, 3000 m</w:t>
      </w:r>
    </w:p>
    <w:p>
      <w:pPr>
        <w:pStyle w:val="ListParagraph"/>
        <w:spacing w:beforeAutospacing="0" w:before="240" w:afterAutospacing="0" w:after="240"/>
        <w:ind w:start="1080"/>
        <w:contextualSpacing/>
        <w:rPr>
          <w:b w:val="false"/>
          <w:bCs w:val="false"/>
          <w:lang w:val="cs-CZ"/>
        </w:rPr>
      </w:pPr>
      <w:r>
        <w:rPr>
          <w:b w:val="false"/>
          <w:bCs w:val="false"/>
          <w:lang w:val="cs-CZ"/>
        </w:rPr>
        <w:t xml:space="preserve">➡ </w:t>
      </w:r>
      <w:r>
        <w:rPr>
          <w:b w:val="false"/>
          <w:bCs w:val="false"/>
          <w:lang w:val="cs-CZ"/>
        </w:rPr>
        <w:t>Kombinace rychlosti a vytrvalosti – středotraťařská výkonnost.</w:t>
      </w:r>
    </w:p>
    <w:p>
      <w:pPr>
        <w:pStyle w:val="ListParagraph"/>
        <w:numPr>
          <w:ilvl w:val="0"/>
          <w:numId w:val="1"/>
        </w:numPr>
        <w:spacing w:beforeAutospacing="0" w:before="240" w:afterAutospacing="0" w:after="240"/>
        <w:contextualSpacing/>
        <w:rPr>
          <w:b w:val="false"/>
          <w:bCs w:val="false"/>
          <w:lang w:val="cs-CZ"/>
        </w:rPr>
      </w:pPr>
      <w:r>
        <w:rPr>
          <w:b w:val="false"/>
          <w:bCs w:val="false"/>
          <w:highlight w:val="green"/>
          <w:lang w:val="cs-CZ"/>
        </w:rPr>
        <w:t>Faktor 2</w:t>
      </w:r>
      <w:r>
        <w:rPr>
          <w:b w:val="false"/>
          <w:bCs w:val="false"/>
          <w:lang w:val="cs-CZ"/>
        </w:rPr>
        <w:t xml:space="preserve"> – Krátké tratě (rychlost)</w:t>
      </w:r>
    </w:p>
    <w:p>
      <w:pPr>
        <w:pStyle w:val="ListParagraph"/>
        <w:spacing w:beforeAutospacing="0" w:before="240" w:afterAutospacing="0" w:after="240"/>
        <w:ind w:start="1080"/>
        <w:contextualSpacing/>
        <w:rPr>
          <w:b w:val="false"/>
          <w:bCs w:val="false"/>
          <w:lang w:val="cs-CZ"/>
        </w:rPr>
      </w:pPr>
      <w:r>
        <w:rPr>
          <w:b w:val="false"/>
          <w:bCs w:val="false"/>
          <w:lang w:val="cs-CZ"/>
        </w:rPr>
        <w:t>Vysoké zátěže: 100 m, 200 m</w:t>
      </w:r>
    </w:p>
    <w:p>
      <w:pPr>
        <w:pStyle w:val="ListParagraph"/>
        <w:spacing w:beforeAutospacing="0" w:before="240" w:afterAutospacing="0" w:after="240"/>
        <w:ind w:start="1080"/>
        <w:contextualSpacing/>
        <w:rPr>
          <w:b w:val="false"/>
          <w:bCs w:val="false"/>
          <w:lang w:val="cs-CZ"/>
        </w:rPr>
      </w:pPr>
      <w:r>
        <w:rPr>
          <w:b w:val="false"/>
          <w:bCs w:val="false"/>
          <w:lang w:val="cs-CZ"/>
        </w:rPr>
        <w:t xml:space="preserve">➡ </w:t>
      </w:r>
      <w:r>
        <w:rPr>
          <w:b w:val="false"/>
          <w:bCs w:val="false"/>
          <w:lang w:val="cs-CZ"/>
        </w:rPr>
        <w:t>Tento faktor reprezentuje rychlostní schopnosti a explozivní výkon.</w:t>
      </w:r>
    </w:p>
    <w:p>
      <w:pPr>
        <w:pStyle w:val="ListParagraph"/>
        <w:numPr>
          <w:ilvl w:val="0"/>
          <w:numId w:val="1"/>
        </w:numPr>
        <w:spacing w:beforeAutospacing="0" w:before="240" w:afterAutospacing="0" w:after="240"/>
        <w:contextualSpacing/>
        <w:rPr>
          <w:b w:val="false"/>
          <w:bCs w:val="false"/>
          <w:lang w:val="cs-CZ"/>
        </w:rPr>
      </w:pPr>
      <w:r>
        <w:rPr>
          <w:b w:val="false"/>
          <w:bCs w:val="false"/>
          <w:highlight w:val="darkMagenta"/>
          <w:lang w:val="cs-CZ"/>
        </w:rPr>
        <w:t>Faktor 3</w:t>
      </w:r>
      <w:r>
        <w:rPr>
          <w:b w:val="false"/>
          <w:bCs w:val="false"/>
          <w:lang w:val="cs-CZ"/>
        </w:rPr>
        <w:t xml:space="preserve"> – Vytrvalost</w:t>
      </w:r>
    </w:p>
    <w:p>
      <w:pPr>
        <w:pStyle w:val="ListParagraph"/>
        <w:spacing w:beforeAutospacing="0" w:before="240" w:afterAutospacing="0" w:after="240"/>
        <w:ind w:start="1080"/>
        <w:contextualSpacing/>
        <w:rPr>
          <w:b w:val="false"/>
          <w:bCs w:val="false"/>
          <w:lang w:val="cs-CZ"/>
        </w:rPr>
      </w:pPr>
      <w:r>
        <w:rPr>
          <w:b w:val="false"/>
          <w:bCs w:val="false"/>
          <w:lang w:val="cs-CZ"/>
        </w:rPr>
        <w:t>Vysoké zátěže: marathon</w:t>
      </w:r>
    </w:p>
    <w:p>
      <w:pPr>
        <w:pStyle w:val="ListParagraph"/>
        <w:spacing w:beforeAutospacing="0" w:before="240" w:afterAutospacing="0" w:after="240"/>
        <w:ind w:start="1080"/>
        <w:contextualSpacing/>
        <w:rPr>
          <w:b w:val="false"/>
          <w:bCs w:val="false"/>
          <w:lang w:val="cs-CZ"/>
        </w:rPr>
      </w:pPr>
      <w:r>
        <w:rPr>
          <w:b w:val="false"/>
          <w:bCs w:val="false"/>
          <w:lang w:val="cs-CZ"/>
        </w:rPr>
        <w:t xml:space="preserve">➡ </w:t>
      </w:r>
      <w:r>
        <w:rPr>
          <w:b w:val="false"/>
          <w:bCs w:val="false"/>
          <w:lang w:val="cs-CZ"/>
        </w:rPr>
        <w:t>Čistá vytrvalostní složka, typická pro dlouhé běhy.</w:t>
      </w:r>
    </w:p>
    <w:p>
      <w:pPr>
        <w:pStyle w:val="Normal"/>
        <w:spacing w:beforeAutospacing="0" w:before="240" w:afterAutospacing="0" w:after="240"/>
        <w:ind w:start="720"/>
        <w:rPr>
          <w:rFonts w:ascii="Calibri" w:hAnsi="Calibri" w:eastAsia="Calibri" w:cs="" w:asciiTheme="minorAscii" w:cstheme="minorBidi" w:eastAsiaTheme="minorAscii" w:hAnsiTheme="minorAscii"/>
          <w:b/>
          <w:bCs/>
          <w:color w:val="auto"/>
          <w:sz w:val="22"/>
          <w:szCs w:val="22"/>
          <w:lang w:val="cs-CZ" w:eastAsia="en-US" w:bidi="ar-SA"/>
        </w:rPr>
      </w:pPr>
      <w:r>
        <w:rPr>
          <w:rFonts w:eastAsia="Calibri" w:cs="" w:ascii="Calibri" w:hAnsi="Calibri" w:asciiTheme="minorAscii" w:cstheme="minorBidi" w:eastAsiaTheme="minorAscii" w:hAnsiTheme="minorAscii"/>
          <w:b/>
          <w:bCs/>
          <w:color w:val="auto"/>
          <w:sz w:val="22"/>
          <w:szCs w:val="22"/>
          <w:lang w:val="cs-CZ" w:eastAsia="en-US" w:bidi="ar-SA"/>
        </w:rPr>
        <w:t>Shrnutí:</w:t>
      </w:r>
    </w:p>
    <w:p>
      <w:pPr>
        <w:pStyle w:val="Normal"/>
        <w:spacing w:beforeAutospacing="0" w:before="240" w:afterAutospacing="0" w:after="240"/>
        <w:ind w:start="720"/>
        <w:rPr>
          <w:rFonts w:ascii="Calibri" w:hAnsi="Calibri" w:eastAsia="Calibri" w:cs="Calibri"/>
          <w:b w:val="false"/>
          <w:bCs w:val="false"/>
          <w:sz w:val="22"/>
          <w:szCs w:val="22"/>
          <w:lang w:val="cs-CZ"/>
        </w:rPr>
      </w:pPr>
      <w:r>
        <w:rPr>
          <w:rFonts w:eastAsia="Calibri" w:cs="Calibri" w:ascii="Calibri" w:hAnsi="Calibri"/>
          <w:b w:val="false"/>
          <w:bCs w:val="false"/>
          <w:sz w:val="22"/>
          <w:szCs w:val="22"/>
          <w:lang w:val="cs-CZ"/>
        </w:rPr>
        <w:t>Faktorová analýza úspěšně redukovala 7 proměnných na 3 faktory. Faktory mají jasnou sportovní interpretaci. Výsledky odpovídají fyziologickému rozdělení běžeckých disciplín. Model je statisticky validní a dobře interpretovatelný.</w:t>
      </w:r>
    </w:p>
    <w:p>
      <w:pPr>
        <w:pStyle w:val="Normal"/>
        <w:spacing w:beforeAutospacing="0" w:before="240" w:afterAutospacing="0" w:after="240"/>
        <w:ind w:start="708"/>
        <w:rPr>
          <w:lang w:val="cs-CZ"/>
        </w:rPr>
      </w:pPr>
      <w:r>
        <w:rPr>
          <w:lang w:val="cs-CZ"/>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3">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4">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5">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6">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7">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8">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9">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10">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11">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2">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cs-CZ"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cs-CZ" w:eastAsia="en-US" w:bidi="ar-SA"/>
    </w:rPr>
  </w:style>
  <w:style w:type="paragraph" w:styleId="Heading2">
    <w:name w:val="heading 2"/>
    <w:basedOn w:val="Normal"/>
    <w:next w:val="Normal"/>
    <w:uiPriority w:val="9"/>
    <w:unhideWhenUsed/>
    <w:qFormat/>
    <w:rsid w:val="288a4882"/>
    <w:pPr>
      <w:keepNext w:val="true"/>
      <w:keepLines/>
      <w:spacing w:before="160" w:after="80"/>
      <w:outlineLvl w:val="1"/>
    </w:pPr>
    <w:rPr>
      <w:rFonts w:ascii="Calibri Light" w:hAnsi="Calibri Light" w:eastAsia="" w:cs="" w:asciiTheme="majorAscii" w:cstheme="majorBidi" w:eastAsiaTheme="majorEastAsia" w:hAnsiTheme="majorAscii"/>
      <w:color w:themeColor="accent1" w:themeShade="bf" w:val="2E74B5"/>
      <w:sz w:val="32"/>
      <w:szCs w:val="32"/>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8d5a79"/>
    <w:rPr>
      <w:color w:themeColor="hyperlink" w:val="0563C1"/>
      <w:u w:val="single"/>
    </w:rPr>
  </w:style>
  <w:style w:type="character" w:styleId="FollowedHyperlink">
    <w:name w:val="FollowedHyperlink"/>
    <w:basedOn w:val="DefaultParagraphFont"/>
    <w:uiPriority w:val="99"/>
    <w:semiHidden/>
    <w:unhideWhenUsed/>
    <w:rsid w:val="008d5a79"/>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03032a"/>
    <w:pPr>
      <w:spacing w:before="0" w:after="160"/>
      <w:ind w:start="720"/>
      <w:contextualSpacing/>
    </w:pPr>
    <w:rPr/>
  </w:style>
  <w:style w:type="numbering" w:styleId="NoList" w:default="1">
    <w:name w:val="No List"/>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 w:type="table" w:styleId="Mkatabulky">
    <w:name w:val="Table Grid"/>
    <w:basedOn w:val="Normlntabulka"/>
    <w:uiPriority w:val="39"/>
    <w:rsid w:val="00b07ad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iv Office">
  <a:themeElements>
    <a:clrScheme name="Kancelář">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LibreOffice/26.2.0.3$Windows_X86_64 LibreOffice_project/620$Build-3</Application>
  <AppVersion>15.0000</AppVersion>
  <Pages>7</Pages>
  <Words>541</Words>
  <Characters>3255</Characters>
  <CharactersWithSpaces>3692</CharactersWithSpaces>
  <Paragraphs>81</Paragraphs>
  <Company>ČSÚ</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2025-12-12T14:32:00Z</dcterms:created>
  <dc:creator>Sixtová Martina</dc:creator>
  <dc:description/>
  <dc:language>ru-RU</dc:language>
  <cp:lastModifiedBy/>
  <dcterms:modified xsi:type="dcterms:W3CDTF">2026-02-25T19:15:38Z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