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22A4E"/>
          <w:sz w:val="34"/>
          <w:szCs w:val="34"/>
        </w:rPr>
        <w:t xml:space="preserve">Financial Performance Analysis</w:t>
      </w:r>
    </w:p>
    <w:p>
      <w:pPr>
        <w:spacing w:after="200"/>
      </w:pPr>
      <w:r>
        <w:rPr>
          <w:rFonts w:ascii="Calibri" w:cs="Calibri" w:eastAsia="Calibri" w:hAnsi="Calibri"/>
          <w:i/>
          <w:iCs/>
          <w:color w:val="B8862E"/>
          <w:sz w:val="19"/>
          <w:szCs w:val="19"/>
        </w:rPr>
        <w:t xml:space="preserve">Executive Summary  ·  Jan 2022 – Dec 2023  ·  10,400 Transactions  ·  5 Linked Datasets</w:t>
      </w:r>
    </w:p>
    <w:p>
      <w:pPr>
        <w:spacing w:after="90"/>
      </w:pPr>
      <w:r>
        <w:rPr>
          <w:rFonts w:ascii="Calibri" w:cs="Calibri" w:eastAsia="Calibri" w:hAnsi="Calibri"/>
          <w:color w:val="17212E"/>
          <w:sz w:val="20"/>
          <w:szCs w:val="20"/>
        </w:rPr>
        <w:t xml:space="preserve">Two years of financial transactions, budget, headcount, customer, and vendor data were validated (Excel), loaded into a relational schema (MySQL), and analyzed (Python: pandas, SciPy) to assess whether revenue and cost are on track, where budgets are slipping, and who the most valuable customers and costliest vendors are. Findings below feed the accompanying Power BI dashboard and slide deck.</w:t>
      </w:r>
    </w:p>
    <w:p>
      <w:pPr>
        <w:pStyle w:val="Heading1"/>
        <w:spacing w:after="80" w:before="200"/>
      </w:pPr>
      <w:r>
        <w:rPr>
          <w:rFonts w:ascii="Cambria" w:cs="Cambria" w:eastAsia="Cambria" w:hAnsi="Cambria"/>
          <w:b/>
          <w:bCs/>
          <w:color w:val="122A4E"/>
          <w:sz w:val="24"/>
          <w:szCs w:val="24"/>
        </w:rPr>
        <w:t xml:space="preserve">Key Financial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CE2EA" w:sz="2"/>
              <w:left w:val="single" w:color="DCE2EA" w:sz="2"/>
              <w:bottom w:val="single" w:color="DCE2EA" w:sz="2"/>
              <w:right w:val="single" w:color="DCE2EA" w:sz="2"/>
            </w:tcBorders>
            <w:shd w:fill="F5F7FA" w:val="clear"/>
            <w:tcMar>
              <w:top w:type="dxa" w:w="100"/>
              <w:left w:type="dxa" w:w="120"/>
              <w:bottom w:type="dxa" w:w="100"/>
              <w:right w:type="dxa" w:w="120"/>
            </w:tcMar>
          </w:tcPr>
          <w:p>
            <w:pPr>
              <w:spacing w:after="20"/>
            </w:pPr>
            <w:r>
              <w:rPr>
                <w:rFonts w:ascii="Calibri" w:cs="Calibri" w:eastAsia="Calibri" w:hAnsi="Calibri"/>
                <w:color w:val="5B6472"/>
                <w:sz w:val="15"/>
                <w:szCs w:val="15"/>
              </w:rPr>
              <w:t xml:space="preserve">Total Revenue</w:t>
            </w:r>
          </w:p>
          <w:p>
            <w:r>
              <w:rPr>
                <w:rFonts w:ascii="Cambria" w:cs="Cambria" w:eastAsia="Cambria" w:hAnsi="Cambria"/>
                <w:b/>
                <w:bCs/>
                <w:color w:val="2F7D5A"/>
                <w:sz w:val="26"/>
                <w:szCs w:val="26"/>
              </w:rPr>
              <w:t xml:space="preserve">₹864.6M</w:t>
            </w:r>
          </w:p>
        </w:tc>
        <w:tc>
          <w:tcPr>
            <w:tcW w:type="pct" w:w="25%"/>
            <w:tcBorders>
              <w:top w:val="single" w:color="DCE2EA" w:sz="2"/>
              <w:left w:val="single" w:color="DCE2EA" w:sz="2"/>
              <w:bottom w:val="single" w:color="DCE2EA" w:sz="2"/>
              <w:right w:val="single" w:color="DCE2EA" w:sz="2"/>
            </w:tcBorders>
            <w:shd w:fill="F5F7FA" w:val="clear"/>
            <w:tcMar>
              <w:top w:type="dxa" w:w="100"/>
              <w:left w:type="dxa" w:w="120"/>
              <w:bottom w:type="dxa" w:w="100"/>
              <w:right w:type="dxa" w:w="120"/>
            </w:tcMar>
          </w:tcPr>
          <w:p>
            <w:pPr>
              <w:spacing w:after="20"/>
            </w:pPr>
            <w:r>
              <w:rPr>
                <w:rFonts w:ascii="Calibri" w:cs="Calibri" w:eastAsia="Calibri" w:hAnsi="Calibri"/>
                <w:color w:val="5B6472"/>
                <w:sz w:val="15"/>
                <w:szCs w:val="15"/>
              </w:rPr>
              <w:t xml:space="preserve">Total Expense</w:t>
            </w:r>
          </w:p>
          <w:p>
            <w:r>
              <w:rPr>
                <w:rFonts w:ascii="Cambria" w:cs="Cambria" w:eastAsia="Cambria" w:hAnsi="Cambria"/>
                <w:b/>
                <w:bCs/>
                <w:color w:val="B3452F"/>
                <w:sz w:val="26"/>
                <w:szCs w:val="26"/>
              </w:rPr>
              <w:t xml:space="preserve">₹167.7M</w:t>
            </w:r>
          </w:p>
        </w:tc>
        <w:tc>
          <w:tcPr>
            <w:tcW w:type="pct" w:w="25%"/>
            <w:tcBorders>
              <w:top w:val="single" w:color="DCE2EA" w:sz="2"/>
              <w:left w:val="single" w:color="DCE2EA" w:sz="2"/>
              <w:bottom w:val="single" w:color="DCE2EA" w:sz="2"/>
              <w:right w:val="single" w:color="DCE2EA" w:sz="2"/>
            </w:tcBorders>
            <w:shd w:fill="F5F7FA" w:val="clear"/>
            <w:tcMar>
              <w:top w:type="dxa" w:w="100"/>
              <w:left w:type="dxa" w:w="120"/>
              <w:bottom w:type="dxa" w:w="100"/>
              <w:right w:type="dxa" w:w="120"/>
            </w:tcMar>
          </w:tcPr>
          <w:p>
            <w:pPr>
              <w:spacing w:after="20"/>
            </w:pPr>
            <w:r>
              <w:rPr>
                <w:rFonts w:ascii="Calibri" w:cs="Calibri" w:eastAsia="Calibri" w:hAnsi="Calibri"/>
                <w:color w:val="5B6472"/>
                <w:sz w:val="15"/>
                <w:szCs w:val="15"/>
              </w:rPr>
              <w:t xml:space="preserve">Net Profit</w:t>
            </w:r>
          </w:p>
          <w:p>
            <w:r>
              <w:rPr>
                <w:rFonts w:ascii="Cambria" w:cs="Cambria" w:eastAsia="Cambria" w:hAnsi="Cambria"/>
                <w:b/>
                <w:bCs/>
                <w:color w:val="2F7D5A"/>
                <w:sz w:val="26"/>
                <w:szCs w:val="26"/>
              </w:rPr>
              <w:t xml:space="preserve">₹696.9M</w:t>
            </w:r>
          </w:p>
        </w:tc>
        <w:tc>
          <w:tcPr>
            <w:tcW w:type="pct" w:w="25%"/>
            <w:tcBorders>
              <w:top w:val="single" w:color="DCE2EA" w:sz="2"/>
              <w:left w:val="single" w:color="DCE2EA" w:sz="2"/>
              <w:bottom w:val="single" w:color="DCE2EA" w:sz="2"/>
              <w:right w:val="single" w:color="DCE2EA" w:sz="2"/>
            </w:tcBorders>
            <w:shd w:fill="F5F7FA" w:val="clear"/>
            <w:tcMar>
              <w:top w:type="dxa" w:w="100"/>
              <w:left w:type="dxa" w:w="120"/>
              <w:bottom w:type="dxa" w:w="100"/>
              <w:right w:type="dxa" w:w="120"/>
            </w:tcMar>
          </w:tcPr>
          <w:p>
            <w:pPr>
              <w:spacing w:after="20"/>
            </w:pPr>
            <w:r>
              <w:rPr>
                <w:rFonts w:ascii="Calibri" w:cs="Calibri" w:eastAsia="Calibri" w:hAnsi="Calibri"/>
                <w:color w:val="5B6472"/>
                <w:sz w:val="15"/>
                <w:szCs w:val="15"/>
              </w:rPr>
              <w:t xml:space="preserve">Gross Margin</w:t>
            </w:r>
          </w:p>
          <w:p>
            <w:r>
              <w:rPr>
                <w:rFonts w:ascii="Cambria" w:cs="Cambria" w:eastAsia="Cambria" w:hAnsi="Cambria"/>
                <w:b/>
                <w:bCs/>
                <w:color w:val="B8862E"/>
                <w:sz w:val="26"/>
                <w:szCs w:val="26"/>
              </w:rPr>
              <w:t xml:space="preserve">80.6%</w:t>
            </w:r>
          </w:p>
        </w:tc>
      </w:tr>
    </w:tbl>
    <w:p>
      <w:pPr>
        <w:spacing w:after="80" w:before="160"/>
      </w:pPr>
    </w:p>
    <w:p>
      <w:pPr>
        <w:pStyle w:val="Heading1"/>
        <w:spacing w:after="80" w:before="200"/>
      </w:pPr>
      <w:r>
        <w:rPr>
          <w:rFonts w:ascii="Cambria" w:cs="Cambria" w:eastAsia="Cambria" w:hAnsi="Cambria"/>
          <w:b/>
          <w:bCs/>
          <w:color w:val="122A4E"/>
          <w:sz w:val="24"/>
          <w:szCs w:val="24"/>
        </w:rPr>
        <w:t xml:space="preserve">Budget Variance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00"/>
        <w:gridCol w:w="3600"/>
      </w:tblGrid>
      <w:tr>
        <w:tc>
          <w:tcPr>
            <w:tcW w:type="pct" w:w="65%"/>
            <w:tcBorders>
              <w:top w:val="single" w:color="FFFFFF" w:sz="2"/>
              <w:left w:val="single" w:color="FFFFFF" w:sz="2"/>
              <w:bottom w:val="single" w:color="FFFFFF" w:sz="2"/>
              <w:right w:val="single" w:color="FFFFFF" w:sz="2"/>
            </w:tcBorders>
          </w:tcPr>
          <w:p>
            <w:pPr>
              <w:pStyle w:val="ListParagraph"/>
              <w:numPr>
                <w:ilvl w:val="0"/>
                <w:numId w:val="1"/>
              </w:numPr>
              <w:spacing w:after="55"/>
            </w:pPr>
            <w:r>
              <w:rPr>
                <w:rFonts w:ascii="Calibri" w:cs="Calibri" w:eastAsia="Calibri" w:hAnsi="Calibri"/>
                <w:color w:val="17212E"/>
                <w:sz w:val="19"/>
                <w:szCs w:val="19"/>
              </w:rPr>
              <w:t xml:space="preserve">Revenue exceeded budget by +536.6% (₹728.8M above target) — consistent across all three business units (Retail +551.7%, Enterprise +529.9%, Online +529.0%).</w:t>
            </w:r>
          </w:p>
          <w:p>
            <w:pPr>
              <w:pStyle w:val="ListParagraph"/>
              <w:numPr>
                <w:ilvl w:val="0"/>
                <w:numId w:val="1"/>
              </w:numPr>
              <w:spacing w:after="55"/>
            </w:pPr>
            <w:r>
              <w:rPr>
                <w:rFonts w:ascii="Calibri" w:cs="Calibri" w:eastAsia="Calibri" w:hAnsi="Calibri"/>
                <w:color w:val="17212E"/>
                <w:sz w:val="19"/>
                <w:szCs w:val="19"/>
              </w:rPr>
              <w:t xml:space="preserve">Expense exceeded budget by +60.9% — real cost growth, but far more modest than revenue growth.</w:t>
            </w:r>
          </w:p>
          <w:p>
            <w:pPr>
              <w:pStyle w:val="ListParagraph"/>
              <w:numPr>
                <w:ilvl w:val="0"/>
                <w:numId w:val="1"/>
              </w:numPr>
              <w:spacing w:after="55"/>
            </w:pPr>
            <w:r>
              <w:rPr>
                <w:rFonts w:ascii="Calibri" w:cs="Calibri" w:eastAsia="Calibri" w:hAnsi="Calibri"/>
                <w:color w:val="17212E"/>
                <w:sz w:val="19"/>
                <w:szCs w:val="19"/>
              </w:rPr>
              <w:t xml:space="preserve">Reading: budgets were set conservatively relative to what the business actually delivered. This is a planning-process finding, not a performance problem.</w:t>
            </w:r>
          </w:p>
        </w:tc>
        <w:tc>
          <w:tcPr>
            <w:tcW w:type="pct" w:w="35%"/>
            <w:tcBorders>
              <w:top w:val="single" w:color="FFFFFF" w:sz="2"/>
              <w:left w:val="single" w:color="FFFFFF" w:sz="2"/>
              <w:bottom w:val="single" w:color="FFFFFF" w:sz="2"/>
              <w:right w:val="single" w:color="FFFFFF" w:sz="2"/>
            </w:tcBorders>
          </w:tcPr>
          <w:p>
            <w:r>
              <w:drawing>
                <wp:inline distT="0" distB="0" distL="0" distR="0">
                  <wp:extent cx="2476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819275"/>
                          </a:xfrm>
                          <a:prstGeom prst="rect">
                            <a:avLst/>
                          </a:prstGeom>
                        </pic:spPr>
                      </pic:pic>
                    </a:graphicData>
                  </a:graphic>
                </wp:inline>
              </w:drawing>
            </w:r>
          </w:p>
        </w:tc>
      </w:tr>
    </w:tbl>
    <w:p>
      <w:pPr>
        <w:pStyle w:val="Heading1"/>
        <w:spacing w:after="80" w:before="200"/>
      </w:pPr>
      <w:r>
        <w:rPr>
          <w:rFonts w:ascii="Cambria" w:cs="Cambria" w:eastAsia="Cambria" w:hAnsi="Cambria"/>
          <w:b/>
          <w:bCs/>
          <w:color w:val="122A4E"/>
          <w:sz w:val="24"/>
          <w:szCs w:val="24"/>
        </w:rPr>
        <w:t xml:space="preserve">Statistical Testing</w:t>
      </w:r>
    </w:p>
    <w:p>
      <w:pPr>
        <w:spacing w:after="90"/>
      </w:pPr>
      <w:r>
        <w:rPr>
          <w:rFonts w:ascii="Calibri" w:cs="Calibri" w:eastAsia="Calibri" w:hAnsi="Calibri"/>
          <w:color w:val="17212E"/>
          <w:sz w:val="20"/>
          <w:szCs w:val="20"/>
        </w:rPr>
        <w:t xml:space="preserve">Three business hypotheses were tested at the 95% confidence level (α = 0.05). None reached significance — performance is genuinely consistent, not driven by a single unit, region, or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DCE2EA" w:sz="2"/>
              <w:left w:val="single" w:color="DCE2EA" w:sz="2"/>
              <w:bottom w:val="single" w:color="DCE2EA" w:sz="2"/>
              <w:right w:val="single" w:color="DCE2EA" w:sz="2"/>
            </w:tcBorders>
            <w:shd w:fill="122A4E" w:val="clear"/>
            <w:tcMar>
              <w:top w:type="dxa" w:w="70"/>
              <w:left w:type="dxa" w:w="100"/>
              <w:bottom w:type="dxa" w:w="70"/>
              <w:right w:type="dxa" w:w="100"/>
            </w:tcMar>
          </w:tcPr>
          <w:p>
            <w:r>
              <w:rPr>
                <w:rFonts w:ascii="Calibri" w:cs="Calibri" w:eastAsia="Calibri" w:hAnsi="Calibri"/>
                <w:b/>
                <w:bCs/>
                <w:color w:val="FFFFFF"/>
                <w:sz w:val="17"/>
                <w:szCs w:val="17"/>
              </w:rPr>
              <w:t xml:space="preserve">Test</w:t>
            </w:r>
          </w:p>
        </w:tc>
        <w:tc>
          <w:tcPr>
            <w:tcW w:type="pct" w:w="50%"/>
            <w:tcBorders>
              <w:top w:val="single" w:color="DCE2EA" w:sz="2"/>
              <w:left w:val="single" w:color="DCE2EA" w:sz="2"/>
              <w:bottom w:val="single" w:color="DCE2EA" w:sz="2"/>
              <w:right w:val="single" w:color="DCE2EA" w:sz="2"/>
            </w:tcBorders>
            <w:shd w:fill="122A4E" w:val="clear"/>
            <w:tcMar>
              <w:top w:type="dxa" w:w="70"/>
              <w:left w:type="dxa" w:w="100"/>
              <w:bottom w:type="dxa" w:w="70"/>
              <w:right w:type="dxa" w:w="100"/>
            </w:tcMar>
          </w:tcPr>
          <w:p>
            <w:r>
              <w:rPr>
                <w:rFonts w:ascii="Calibri" w:cs="Calibri" w:eastAsia="Calibri" w:hAnsi="Calibri"/>
                <w:b/>
                <w:bCs/>
                <w:color w:val="FFFFFF"/>
                <w:sz w:val="17"/>
                <w:szCs w:val="17"/>
              </w:rPr>
              <w:t xml:space="preserve">Hypothesis</w:t>
            </w:r>
          </w:p>
        </w:tc>
        <w:tc>
          <w:tcPr>
            <w:tcW w:type="pct" w:w="30%"/>
            <w:tcBorders>
              <w:top w:val="single" w:color="DCE2EA" w:sz="2"/>
              <w:left w:val="single" w:color="DCE2EA" w:sz="2"/>
              <w:bottom w:val="single" w:color="DCE2EA" w:sz="2"/>
              <w:right w:val="single" w:color="DCE2EA" w:sz="2"/>
            </w:tcBorders>
            <w:shd w:fill="122A4E" w:val="clear"/>
            <w:tcMar>
              <w:top w:type="dxa" w:w="70"/>
              <w:left w:type="dxa" w:w="100"/>
              <w:bottom w:type="dxa" w:w="70"/>
              <w:right w:type="dxa" w:w="100"/>
            </w:tcMar>
          </w:tcPr>
          <w:p>
            <w:r>
              <w:rPr>
                <w:rFonts w:ascii="Calibri" w:cs="Calibri" w:eastAsia="Calibri" w:hAnsi="Calibri"/>
                <w:b/>
                <w:bCs/>
                <w:color w:val="FFFFFF"/>
                <w:sz w:val="17"/>
                <w:szCs w:val="17"/>
              </w:rPr>
              <w:t xml:space="preserve">Result</w:t>
            </w:r>
          </w:p>
        </w:tc>
      </w:tr>
      <w:tr>
        <w:tc>
          <w:tcPr>
            <w:tcW w:type="pct" w:w="2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bCs/>
                <w:color w:val="17212E"/>
                <w:sz w:val="17"/>
                <w:szCs w:val="17"/>
              </w:rPr>
              <w:t xml:space="preserve">ANOVA</w:t>
            </w:r>
          </w:p>
        </w:tc>
        <w:tc>
          <w:tcPr>
            <w:tcW w:type="pct" w:w="5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val="false"/>
                <w:bCs w:val="false"/>
                <w:color w:val="17212E"/>
                <w:sz w:val="17"/>
                <w:szCs w:val="17"/>
              </w:rPr>
              <w:t xml:space="preserve">Expense differs across business units</w:t>
            </w:r>
          </w:p>
        </w:tc>
        <w:tc>
          <w:tcPr>
            <w:tcW w:type="pct" w:w="3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val="false"/>
                <w:bCs w:val="false"/>
                <w:color w:val="17212E"/>
                <w:sz w:val="17"/>
                <w:szCs w:val="17"/>
              </w:rPr>
              <w:t xml:space="preserve">F = 0.235, p = 0.791 — not significant</w:t>
            </w:r>
          </w:p>
        </w:tc>
      </w:tr>
      <w:tr>
        <w:tc>
          <w:tcPr>
            <w:tcW w:type="pct" w:w="2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bCs/>
                <w:color w:val="17212E"/>
                <w:sz w:val="17"/>
                <w:szCs w:val="17"/>
              </w:rPr>
              <w:t xml:space="preserve">t-test</w:t>
            </w:r>
          </w:p>
        </w:tc>
        <w:tc>
          <w:tcPr>
            <w:tcW w:type="pct" w:w="5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val="false"/>
                <w:bCs w:val="false"/>
                <w:color w:val="17212E"/>
                <w:sz w:val="17"/>
                <w:szCs w:val="17"/>
              </w:rPr>
              <w:t xml:space="preserve">Revenue differs between regions (East vs. West)</w:t>
            </w:r>
          </w:p>
        </w:tc>
        <w:tc>
          <w:tcPr>
            <w:tcW w:type="pct" w:w="3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val="false"/>
                <w:bCs w:val="false"/>
                <w:color w:val="17212E"/>
                <w:sz w:val="17"/>
                <w:szCs w:val="17"/>
              </w:rPr>
              <w:t xml:space="preserve">t = 0.746, p = 0.456 — not significant</w:t>
            </w:r>
          </w:p>
        </w:tc>
      </w:tr>
      <w:tr>
        <w:tc>
          <w:tcPr>
            <w:tcW w:type="pct" w:w="2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bCs/>
                <w:color w:val="17212E"/>
                <w:sz w:val="17"/>
                <w:szCs w:val="17"/>
              </w:rPr>
              <w:t xml:space="preserve">Chi-square</w:t>
            </w:r>
          </w:p>
        </w:tc>
        <w:tc>
          <w:tcPr>
            <w:tcW w:type="pct" w:w="5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val="false"/>
                <w:bCs w:val="false"/>
                <w:color w:val="17212E"/>
                <w:sz w:val="17"/>
                <w:szCs w:val="17"/>
              </w:rPr>
              <w:t xml:space="preserve">Customer segment is associated with purchase category</w:t>
            </w:r>
          </w:p>
        </w:tc>
        <w:tc>
          <w:tcPr>
            <w:tcW w:type="pct" w:w="30%"/>
            <w:tcBorders>
              <w:top w:val="single" w:color="DCE2EA" w:sz="2"/>
              <w:left w:val="single" w:color="DCE2EA" w:sz="2"/>
              <w:bottom w:val="single" w:color="DCE2EA" w:sz="2"/>
              <w:right w:val="single" w:color="DCE2EA" w:sz="2"/>
            </w:tcBorders>
            <w:shd w:fill="FFFFFF" w:val="clear"/>
            <w:tcMar>
              <w:top w:type="dxa" w:w="70"/>
              <w:left w:type="dxa" w:w="100"/>
              <w:bottom w:type="dxa" w:w="70"/>
              <w:right w:type="dxa" w:w="100"/>
            </w:tcMar>
          </w:tcPr>
          <w:p>
            <w:r>
              <w:rPr>
                <w:rFonts w:ascii="Calibri" w:cs="Calibri" w:eastAsia="Calibri" w:hAnsi="Calibri"/>
                <w:b w:val="false"/>
                <w:bCs w:val="false"/>
                <w:color w:val="17212E"/>
                <w:sz w:val="17"/>
                <w:szCs w:val="17"/>
              </w:rPr>
              <w:t xml:space="preserve">χ² = 2.206, df = 4, p = 0.698 — not significant</w:t>
            </w:r>
          </w:p>
        </w:tc>
      </w:tr>
    </w:tbl>
    <w:p>
      <w:pPr>
        <w:pStyle w:val="Heading1"/>
        <w:spacing w:after="80" w:before="200"/>
      </w:pPr>
      <w:r>
        <w:rPr>
          <w:rFonts w:ascii="Cambria" w:cs="Cambria" w:eastAsia="Cambria" w:hAnsi="Cambria"/>
          <w:b/>
          <w:bCs/>
          <w:color w:val="122A4E"/>
          <w:sz w:val="24"/>
          <w:szCs w:val="24"/>
        </w:rPr>
        <w:t xml:space="preserve">Revenue &amp; Expense Trend</w:t>
      </w:r>
    </w:p>
    <w:p>
      <w:pPr>
        <w:spacing w:after="60"/>
        <w:jc w:val="center"/>
      </w:pPr>
      <w:r>
        <w:drawing>
          <wp:inline distT="0" distB="0" distL="0" distR="0">
            <wp:extent cx="4476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552575"/>
                    </a:xfrm>
                    <a:prstGeom prst="rect">
                      <a:avLst/>
                    </a:prstGeom>
                  </pic:spPr>
                </pic:pic>
              </a:graphicData>
            </a:graphic>
          </wp:inline>
        </w:drawing>
      </w:r>
    </w:p>
    <w:p>
      <w:pPr>
        <w:spacing w:after="90"/>
      </w:pPr>
      <w:r>
        <w:rPr>
          <w:rFonts w:ascii="Calibri" w:cs="Calibri" w:eastAsia="Calibri" w:hAnsi="Calibri"/>
          <w:i/>
          <w:iCs/>
          <w:color w:val="5B6472"/>
          <w:sz w:val="18"/>
          <w:szCs w:val="18"/>
        </w:rPr>
        <w:t xml:space="preserve">Revenue is noisy month to month — normal for transaction-level data — but trends upward overall with a step-up from mid-2023. Expense stays flat and low by comparison, consistent with an 80.6% gross margin held every month, not just at the yearly total.</w:t>
      </w:r>
    </w:p>
    <w:p>
      <w:pPr>
        <w:pStyle w:val="Heading1"/>
        <w:spacing w:after="80" w:before="200"/>
      </w:pPr>
      <w:r>
        <w:rPr>
          <w:rFonts w:ascii="Cambria" w:cs="Cambria" w:eastAsia="Cambria" w:hAnsi="Cambria"/>
          <w:b/>
          <w:bCs/>
          <w:color w:val="122A4E"/>
          <w:sz w:val="24"/>
          <w:szCs w:val="24"/>
        </w:rPr>
        <w:t xml:space="preserve">Customer, Vendor &amp; Headcount</w:t>
      </w:r>
    </w:p>
    <w:p>
      <w:pPr>
        <w:pStyle w:val="ListParagraph"/>
        <w:numPr>
          <w:ilvl w:val="0"/>
          <w:numId w:val="1"/>
        </w:numPr>
        <w:spacing w:after="55"/>
      </w:pPr>
      <w:r>
        <w:rPr>
          <w:rFonts w:ascii="Calibri" w:cs="Calibri" w:eastAsia="Calibri" w:hAnsi="Calibri"/>
          <w:color w:val="17212E"/>
          <w:sz w:val="19"/>
          <w:szCs w:val="19"/>
        </w:rPr>
        <w:t xml:space="preserve">Customer base is low-risk: the top 10 customers = 4.44% of total revenue across 400 active accounts. The single largest customer (Gonzalez, Barton and Robles) is only ₹4.2M — under 0.5% of revenue.</w:t>
      </w:r>
    </w:p>
    <w:p>
      <w:pPr>
        <w:pStyle w:val="ListParagraph"/>
        <w:numPr>
          <w:ilvl w:val="0"/>
          <w:numId w:val="1"/>
        </w:numPr>
        <w:spacing w:after="55"/>
      </w:pPr>
      <w:r>
        <w:rPr>
          <w:rFonts w:ascii="Calibri" w:cs="Calibri" w:eastAsia="Calibri" w:hAnsi="Calibri"/>
          <w:color w:val="17212E"/>
          <w:sz w:val="19"/>
          <w:szCs w:val="19"/>
        </w:rPr>
        <w:t xml:space="preserve">Vendor spend is more concentrated: the top 10 vendors = 15.23% of total expense across 120 active vendors, ~3.4× more concentrated than the customer side. The largest single vendor (Crawford, Solis and Jackson) is ₹2.8M.</w:t>
      </w:r>
    </w:p>
    <w:p>
      <w:pPr>
        <w:pStyle w:val="ListParagraph"/>
        <w:numPr>
          <w:ilvl w:val="0"/>
          <w:numId w:val="1"/>
        </w:numPr>
        <w:spacing w:after="55"/>
      </w:pPr>
      <w:r>
        <w:rPr>
          <w:rFonts w:ascii="Calibri" w:cs="Calibri" w:eastAsia="Calibri" w:hAnsi="Calibri"/>
          <w:color w:val="17212E"/>
          <w:sz w:val="19"/>
          <w:szCs w:val="19"/>
        </w:rPr>
        <w:t xml:space="preserve">186 active employees, ₹207.1M total annual cost, ₹1.11M average cost per employee. Enterprise's slightly thinner gross margin (79.7% vs. 80.6–81.4% elsewhere) is not statistically significant per the ANOVA result above.</w:t>
      </w:r>
    </w:p>
    <w:p>
      <w:pPr>
        <w:pStyle w:val="Heading1"/>
        <w:spacing w:after="80" w:before="200"/>
      </w:pPr>
      <w:r>
        <w:rPr>
          <w:rFonts w:ascii="Cambria" w:cs="Cambria" w:eastAsia="Cambria" w:hAnsi="Cambria"/>
          <w:b/>
          <w:bCs/>
          <w:color w:val="122A4E"/>
          <w:sz w:val="24"/>
          <w:szCs w:val="24"/>
        </w:rPr>
        <w:t xml:space="preserve">Recommendations</w:t>
      </w:r>
    </w:p>
    <w:p>
      <w:pPr>
        <w:pStyle w:val="ListParagraph"/>
        <w:numPr>
          <w:ilvl w:val="0"/>
          <w:numId w:val="1"/>
        </w:numPr>
        <w:spacing w:after="55"/>
      </w:pPr>
      <w:r>
        <w:rPr>
          <w:rFonts w:ascii="Calibri" w:cs="Calibri" w:eastAsia="Calibri" w:hAnsi="Calibri"/>
          <w:color w:val="17212E"/>
          <w:sz w:val="19"/>
          <w:szCs w:val="19"/>
        </w:rPr>
        <w:t xml:space="preserve">Rebuild the budgeting baseline using 2022–2023 actuals, not the original conservative targets, as the starting point for next year's budget.</w:t>
      </w:r>
    </w:p>
    <w:p>
      <w:pPr>
        <w:pStyle w:val="ListParagraph"/>
        <w:numPr>
          <w:ilvl w:val="0"/>
          <w:numId w:val="1"/>
        </w:numPr>
        <w:spacing w:after="55"/>
      </w:pPr>
      <w:r>
        <w:rPr>
          <w:rFonts w:ascii="Calibri" w:cs="Calibri" w:eastAsia="Calibri" w:hAnsi="Calibri"/>
          <w:color w:val="17212E"/>
          <w:sz w:val="19"/>
          <w:szCs w:val="19"/>
        </w:rPr>
        <w:t xml:space="preserve">Maintain the current operating structure — hypothesis testing found no statistically significant variance by unit, region, or segment, so no structural reallocation is currently justified.</w:t>
      </w:r>
    </w:p>
    <w:p>
      <w:pPr>
        <w:pStyle w:val="ListParagraph"/>
        <w:numPr>
          <w:ilvl w:val="0"/>
          <w:numId w:val="1"/>
        </w:numPr>
        <w:spacing w:after="55"/>
      </w:pPr>
      <w:r>
        <w:rPr>
          <w:rFonts w:ascii="Calibri" w:cs="Calibri" w:eastAsia="Calibri" w:hAnsi="Calibri"/>
          <w:color w:val="17212E"/>
          <w:sz w:val="19"/>
          <w:szCs w:val="19"/>
        </w:rPr>
        <w:t xml:space="preserve">Reduce vendor concentration risk by diversifying or renegotiating terms with the top 10 vendors representing 15.23% of spend.</w:t>
      </w:r>
    </w:p>
    <w:p>
      <w:pPr>
        <w:pStyle w:val="ListParagraph"/>
        <w:numPr>
          <w:ilvl w:val="0"/>
          <w:numId w:val="1"/>
        </w:numPr>
        <w:spacing w:after="55"/>
      </w:pPr>
      <w:r>
        <w:rPr>
          <w:rFonts w:ascii="Calibri" w:cs="Calibri" w:eastAsia="Calibri" w:hAnsi="Calibri"/>
          <w:color w:val="17212E"/>
          <w:sz w:val="19"/>
          <w:szCs w:val="19"/>
        </w:rPr>
        <w:t xml:space="preserve">Formalize the data-validation process — turn the PK/FK, category, and range checks used here into a recurring monthly routine.</w:t>
      </w:r>
    </w:p>
    <w:p>
      <w:pPr>
        <w:pStyle w:val="Heading1"/>
        <w:spacing w:after="80" w:before="200"/>
      </w:pPr>
      <w:r>
        <w:rPr>
          <w:rFonts w:ascii="Cambria" w:cs="Cambria" w:eastAsia="Cambria" w:hAnsi="Cambria"/>
          <w:b/>
          <w:bCs/>
          <w:color w:val="122A4E"/>
          <w:sz w:val="24"/>
          <w:szCs w:val="24"/>
        </w:rPr>
        <w:t xml:space="preserve">Future Scope</w:t>
      </w:r>
    </w:p>
    <w:p>
      <w:pPr>
        <w:spacing w:after="90"/>
      </w:pPr>
      <w:r>
        <w:rPr>
          <w:rFonts w:ascii="Calibri" w:cs="Calibri" w:eastAsia="Calibri" w:hAnsi="Calibri"/>
          <w:color w:val="17212E"/>
          <w:sz w:val="20"/>
          <w:szCs w:val="20"/>
        </w:rPr>
        <w:t xml:space="preserve">Predictive forecasting (regression/time-series) as more periods accumulate; a live Power BI refresh directly against MySQL instead of static CSVs; interaction-effect testing (region × business unit); automated anomaly alerts on outlier transactions; and entity-level profitability beyond aggregate top-10 concentration.</w:t>
      </w:r>
    </w:p>
    <w:sectPr>
      <w:headerReference w:type="default" r:id="rId7"/>
      <w:footerReference w:type="default" r:id="rId8"/>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472"/>
        <w:sz w:val="14"/>
        <w:szCs w:val="14"/>
      </w:rPr>
      <w:t xml:space="preserve">Financial Performance Analysis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570833735b29ab3ed2a03f69e36829aac8f5a6.png"/><Relationship Id="rId10" Type="http://schemas.openxmlformats.org/officeDocument/2006/relationships/image" Target="media/35265757fcb6692d2811dfb3f21cae2d83cb0f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2026-09-20T02:14:01.905Z</dcterms:created>
  <dcterms:modified xsi:type="dcterms:W3CDTF">2026-09-20T02:14:01.905Z</dcterms:modified>
</cp:coreProperties>
</file>

<file path=docProps/custom.xml><?xml version="1.0" encoding="utf-8"?>
<Properties xmlns="http://schemas.openxmlformats.org/officeDocument/2006/custom-properties" xmlns:vt="http://schemas.openxmlformats.org/officeDocument/2006/docPropsVTypes"/>
</file>