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p>
    <w:p>
      <w:pPr>
        <w:bidi w:val="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 similar to EJB.</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(XA)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rPr>
      </w:pPr>
      <w:r>
        <w:rPr>
          <w:rFonts w:hint="default" w:ascii="Verdana" w:hAnsi="Verdana" w:cs="Verdana"/>
          <w:b/>
          <w:bCs/>
          <w:sz w:val="24"/>
          <w:szCs w:val="24"/>
        </w:rPr>
        <w:t>Choosing Transaction Manager</w:t>
      </w:r>
    </w:p>
    <w:p>
      <w:pPr>
        <w:bidi w:val="0"/>
        <w:rPr>
          <w:rFonts w:hint="default" w:ascii="Verdana" w:hAnsi="Verdana" w:cs="Verdana"/>
          <w:sz w:val="24"/>
          <w:szCs w:val="24"/>
        </w:rPr>
      </w:pPr>
      <w:r>
        <w:rPr>
          <w:rFonts w:hint="default" w:ascii="Verdana" w:hAnsi="Verdana" w:cs="Verdana"/>
          <w:sz w:val="24"/>
          <w:szCs w:val="24"/>
        </w:rPr>
        <w:t>Instead of managing the transaction, Spring supports several transaction managers which  delegate the transaction management responsibilities to platform specific implementations. Plarform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We can use DataSourceTransactionManager for simple JDBC persistence mechanism. Sample configuration of DataSourceTransactionManager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Hibernate transaction manager should be used when our application is using Hibernate. Sample configuration of HibernateTransactionManager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class=”org.springframework.orm.hibernate3.HibernateTransactionManager&gt;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 Spring checks if there is an active transaction, then it creates a new one if nothing existed.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ilvl w:val="0"/>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bidi w:val="0"/>
        <w:rPr>
          <w:rStyle w:val="14"/>
          <w:rFonts w:hint="default" w:ascii="raleway" w:hAnsi="raleway" w:eastAsia="raleway" w:cs="raleway"/>
          <w:b/>
          <w:bCs/>
          <w:i w:val="0"/>
          <w:iCs w:val="0"/>
          <w:caps w:val="0"/>
          <w:color w:val="000000"/>
          <w:spacing w:val="0"/>
          <w:sz w:val="27"/>
          <w:szCs w:val="27"/>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2"/>
          <w:szCs w:val="22"/>
          <w:lang w:val="en-US" w:eastAsia="zh-CN"/>
        </w:rPr>
      </w:pPr>
      <w:r>
        <w:rPr>
          <w:rFonts w:hint="default" w:ascii="Verdana" w:hAnsi="Verdana" w:cs="Verdana"/>
          <w:sz w:val="22"/>
          <w:szCs w:val="22"/>
          <w:lang w:val="en-US" w:eastAsia="zh-CN"/>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Transactions and Proxies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@Transactional,</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Read-Only Transactions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Transaction Logging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Arial" w:hAnsi="Arial" w:eastAsia="raleway" w:cs="Arial"/>
          <w:b/>
          <w:bCs/>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Transaction Rollback :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2"/>
          <w:szCs w:val="22"/>
          <w:shd w:val="clear" w:fill="FFFFFF"/>
          <w:lang w:val="en-US" w:eastAsia="zh-CN" w:bidi="ar-SA"/>
        </w:rPr>
        <w:t>In the declarative approach</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 xml:space="preserve">example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t>@Transactional</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Arial" w:hAnsi="Arial" w:eastAsia="raleway" w:cs="Arial"/>
          <w:b/>
          <w:bCs/>
          <w:i w:val="0"/>
          <w:iCs w:val="0"/>
          <w:caps w:val="0"/>
          <w:color w:val="000000"/>
          <w:spacing w:val="0"/>
          <w:sz w:val="21"/>
          <w:szCs w:val="21"/>
          <w:shd w:val="clear" w:fill="FFFFFF"/>
          <w:lang w:val="en-US" w:eastAsia="zh-CN"/>
        </w:rPr>
      </w:pPr>
      <w:r>
        <w:rPr>
          <w:rStyle w:val="14"/>
          <w:rFonts w:hint="default" w:ascii="Arial" w:hAnsi="Arial" w:eastAsia="raleway" w:cs="Arial"/>
          <w:b/>
          <w:bCs/>
          <w:i w:val="0"/>
          <w:iCs w:val="0"/>
          <w:caps w:val="0"/>
          <w:color w:val="000000"/>
          <w:spacing w:val="0"/>
          <w:sz w:val="21"/>
          <w:szCs w:val="21"/>
          <w:shd w:val="clear" w:fill="FFFFFF"/>
          <w:lang w:val="en-US" w:eastAsia="zh-CN"/>
        </w:rPr>
        <w:t>@Transactional(rollbackFor = { SQLException.class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courseDao.create(course);</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p>
    <w:p>
      <w:pPr>
        <w:rPr>
          <w:rStyle w:val="14"/>
          <w:rFonts w:hint="default" w:ascii="Arial" w:hAnsi="Arial" w:eastAsia="raleway" w:cs="Arial"/>
          <w:b/>
          <w:bCs/>
          <w:i w:val="0"/>
          <w:iCs w:val="0"/>
          <w:caps w:val="0"/>
          <w:color w:val="000000"/>
          <w:spacing w:val="0"/>
          <w:kern w:val="0"/>
          <w:sz w:val="21"/>
          <w:szCs w:val="21"/>
          <w:shd w:val="clear" w:fill="FFFFFF"/>
          <w:lang w:val="en-US" w:eastAsia="zh-CN" w:bidi="ar-SA"/>
        </w:rPr>
      </w:pPr>
      <w:r>
        <w:rPr>
          <w:rStyle w:val="14"/>
          <w:rFonts w:hint="default" w:ascii="Arial" w:hAnsi="Arial" w:eastAsia="raleway" w:cs="Arial"/>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In the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programmatic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TransactionAspectSupport</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S</w:t>
      </w:r>
      <w:bookmarkStart w:id="0" w:name="_GoBack"/>
      <w:bookmarkEnd w:id="0"/>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cs="Arial"/>
          <w:b/>
          <w:bCs/>
          <w:sz w:val="24"/>
          <w:szCs w:val="24"/>
          <w:lang w:val="en-US" w:eastAsia="zh-CN"/>
        </w:rPr>
      </w:pPr>
      <w:r>
        <w:rPr>
          <w:rFonts w:hint="default" w:ascii="Arial" w:hAnsi="Arial" w:cs="Arial"/>
          <w:b/>
          <w:bCs/>
          <w:sz w:val="28"/>
          <w:szCs w:val="28"/>
          <w:lang w:val="en-US" w:eastAsia="zh-CN"/>
        </w:rPr>
        <w:t xml:space="preserve">Features : </w:t>
      </w: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provides comprehensive support for </w:t>
      </w:r>
      <w:r>
        <w:rPr>
          <w:rFonts w:hint="default" w:ascii="Arial" w:hAnsi="Arial" w:eastAsia="Open Sans" w:cs="Arial"/>
          <w:i w:val="0"/>
          <w:iCs w:val="0"/>
          <w:caps w:val="0"/>
          <w:color w:val="000000"/>
          <w:spacing w:val="0"/>
          <w:sz w:val="24"/>
          <w:szCs w:val="24"/>
          <w:shd w:val="clear" w:fill="FFFFFF"/>
        </w:rPr>
        <w:fldChar w:fldCharType="begin"/>
      </w:r>
      <w:r>
        <w:rPr>
          <w:rFonts w:hint="default" w:ascii="Arial" w:hAnsi="Arial" w:eastAsia="Open Sans" w:cs="Arial"/>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Arial" w:hAnsi="Arial" w:eastAsia="Open Sans" w:cs="Arial"/>
          <w:i w:val="0"/>
          <w:iCs w:val="0"/>
          <w:caps w:val="0"/>
          <w:color w:val="000000"/>
          <w:spacing w:val="0"/>
          <w:sz w:val="24"/>
          <w:szCs w:val="24"/>
          <w:shd w:val="clear" w:fill="FFFFFF"/>
        </w:rPr>
        <w:fldChar w:fldCharType="separate"/>
      </w:r>
      <w:r>
        <w:rPr>
          <w:rFonts w:hint="default" w:ascii="Arial" w:hAnsi="Arial" w:eastAsia="Open Sans" w:cs="Arial"/>
          <w:i w:val="0"/>
          <w:iCs w:val="0"/>
          <w:caps w:val="0"/>
          <w:color w:val="000000"/>
          <w:spacing w:val="0"/>
          <w:sz w:val="24"/>
          <w:szCs w:val="24"/>
          <w:shd w:val="clear" w:fill="FFFFFF"/>
        </w:rPr>
        <w:t>authentication</w:t>
      </w:r>
      <w:r>
        <w:rPr>
          <w:rFonts w:hint="default" w:ascii="Arial" w:hAnsi="Arial" w:eastAsia="Open Sans" w:cs="Arial"/>
          <w:i w:val="0"/>
          <w:iCs w:val="0"/>
          <w:caps w:val="0"/>
          <w:color w:val="000000"/>
          <w:spacing w:val="0"/>
          <w:sz w:val="24"/>
          <w:szCs w:val="24"/>
          <w:shd w:val="clear" w:fill="FFFFFF"/>
        </w:rPr>
        <w:fldChar w:fldCharType="end"/>
      </w:r>
      <w:r>
        <w:rPr>
          <w:rFonts w:hint="default" w:ascii="Arial" w:hAnsi="Arial" w:eastAsia="Open Sans" w:cs="Arial"/>
          <w:i w:val="0"/>
          <w:iCs w:val="0"/>
          <w:caps w:val="0"/>
          <w:color w:val="000000"/>
          <w:spacing w:val="0"/>
          <w:sz w:val="24"/>
          <w:szCs w:val="24"/>
          <w:shd w:val="clear" w:fill="FFFFFF"/>
        </w:rPr>
        <w:t>, authorization, and protection against </w:t>
      </w:r>
      <w:r>
        <w:rPr>
          <w:rFonts w:hint="default" w:ascii="Arial" w:hAnsi="Arial" w:eastAsia="Open Sans" w:cs="Arial"/>
          <w:i w:val="0"/>
          <w:iCs w:val="0"/>
          <w:caps w:val="0"/>
          <w:color w:val="086DC3"/>
          <w:spacing w:val="0"/>
          <w:sz w:val="24"/>
          <w:szCs w:val="24"/>
          <w:u w:val="none"/>
          <w:shd w:val="clear" w:fill="FFFFFF"/>
        </w:rPr>
        <w:fldChar w:fldCharType="begin"/>
      </w:r>
      <w:r>
        <w:rPr>
          <w:rFonts w:hint="default" w:ascii="Arial" w:hAnsi="Arial" w:eastAsia="Open Sans" w:cs="Arial"/>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Arial" w:hAnsi="Arial" w:eastAsia="Open Sans" w:cs="Arial"/>
          <w:i w:val="0"/>
          <w:iCs w:val="0"/>
          <w:caps w:val="0"/>
          <w:color w:val="086DC3"/>
          <w:spacing w:val="0"/>
          <w:sz w:val="24"/>
          <w:szCs w:val="24"/>
          <w:u w:val="none"/>
          <w:shd w:val="clear" w:fill="FFFFFF"/>
        </w:rPr>
        <w:fldChar w:fldCharType="separate"/>
      </w:r>
      <w:r>
        <w:rPr>
          <w:rStyle w:val="12"/>
          <w:rFonts w:hint="default" w:ascii="Arial" w:hAnsi="Arial" w:eastAsia="Open Sans" w:cs="Arial"/>
          <w:i w:val="0"/>
          <w:iCs w:val="0"/>
          <w:caps w:val="0"/>
          <w:color w:val="086DC3"/>
          <w:spacing w:val="0"/>
          <w:sz w:val="24"/>
          <w:szCs w:val="24"/>
          <w:u w:val="none"/>
          <w:shd w:val="clear" w:fill="FFFFFF"/>
        </w:rPr>
        <w:t>common exploits</w:t>
      </w:r>
      <w:r>
        <w:rPr>
          <w:rFonts w:hint="default" w:ascii="Arial" w:hAnsi="Arial" w:eastAsia="Open Sans" w:cs="Arial"/>
          <w:i w:val="0"/>
          <w:iCs w:val="0"/>
          <w:caps w:val="0"/>
          <w:color w:val="086DC3"/>
          <w:spacing w:val="0"/>
          <w:sz w:val="24"/>
          <w:szCs w:val="24"/>
          <w:u w:val="none"/>
          <w:shd w:val="clear" w:fill="FFFFFF"/>
        </w:rPr>
        <w:fldChar w:fldCharType="end"/>
      </w:r>
      <w:r>
        <w:rPr>
          <w:rFonts w:hint="default" w:ascii="Arial" w:hAnsi="Arial" w:eastAsia="Open Sans" w:cs="Arial"/>
          <w:i w:val="0"/>
          <w:iCs w:val="0"/>
          <w:caps w:val="0"/>
          <w:color w:val="000000"/>
          <w:spacing w:val="0"/>
          <w:sz w:val="24"/>
          <w:szCs w:val="24"/>
          <w:shd w:val="clear" w:fill="FFFFFF"/>
        </w:rPr>
        <w:t>. It also provides integration with other libraries to simplify its usage.</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2"/>
          <w:szCs w:val="22"/>
          <w:shd w:val="clear" w:fill="FFFFFF"/>
        </w:rPr>
      </w:pPr>
      <w:r>
        <w:rPr>
          <w:rFonts w:hint="default" w:ascii="Arial" w:hAnsi="Arial" w:eastAsia="Open Sans" w:cs="Arial"/>
          <w:i w:val="0"/>
          <w:iCs w:val="0"/>
          <w:caps w:val="0"/>
          <w:color w:val="000000"/>
          <w:spacing w:val="0"/>
          <w:sz w:val="22"/>
          <w:szCs w:val="22"/>
          <w:shd w:val="clear" w:fill="FFFFFF"/>
        </w:rPr>
        <w:t>Spring Security operates on two major areas: </w:t>
      </w:r>
      <w:r>
        <w:rPr>
          <w:rFonts w:hint="default" w:ascii="Arial" w:hAnsi="Arial" w:eastAsia="Open Sans" w:cs="Arial"/>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Authentication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Authorization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determines What permission do user have?</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sz w:val="22"/>
          <w:szCs w:val="22"/>
        </w:rPr>
      </w:pPr>
      <w:r>
        <w:rPr>
          <w:rFonts w:hint="default" w:ascii="Arial" w:hAnsi="Arial" w:eastAsia="Tahoma" w:cs="Arial"/>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keepNext w:val="0"/>
        <w:keepLines w:val="0"/>
        <w:widowControl/>
        <w:suppressLineNumbers w:val="0"/>
        <w:jc w:val="left"/>
        <w:rPr>
          <w:rFonts w:hint="default" w:ascii="Arial" w:hAnsi="Arial" w:cs="Arial"/>
          <w:b/>
          <w:bCs/>
          <w:sz w:val="22"/>
          <w:szCs w:val="22"/>
        </w:rPr>
      </w:pPr>
      <w:r>
        <w:rPr>
          <w:rFonts w:hint="default" w:ascii="Arial" w:hAnsi="Arial" w:eastAsia="Tahoma" w:cs="Arial"/>
          <w:b/>
          <w:bCs/>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Authentication</w:t>
      </w:r>
      <w:r>
        <w:rPr>
          <w:rFonts w:hint="default" w:ascii="Arial" w:hAnsi="Arial" w:eastAsia="Tahoma" w:cs="Arial"/>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then he should be able to prove that he is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by providing the password known only to user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Authorization</w:t>
      </w:r>
      <w:r>
        <w:rPr>
          <w:rFonts w:hint="default" w:ascii="Arial" w:hAnsi="Arial" w:eastAsia="Tahoma" w:cs="Arial"/>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r>
        <w:rPr>
          <w:rFonts w:hint="default" w:ascii="Arial" w:hAnsi="Arial" w:eastAsia="Tahoma" w:cs="Arial"/>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r>
        <w:rPr>
          <w:rFonts w:hint="default" w:ascii="Arial" w:hAnsi="Arial" w:eastAsia="Tahoma" w:cs="Arial"/>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Arial" w:hAnsi="Arial" w:eastAsia="Tahoma" w:cs="Arial"/>
          <w:b/>
          <w:bCs/>
          <w:i w:val="0"/>
          <w:iCs w:val="0"/>
          <w:caps w:val="0"/>
          <w:color w:val="333333"/>
          <w:spacing w:val="0"/>
          <w:sz w:val="22"/>
          <w:szCs w:val="22"/>
          <w:shd w:val="clear" w:fill="FFFFFF"/>
          <w:lang w:val="en-US" w:eastAsia="zh-CN" w:bidi="ar-SA"/>
        </w:rPr>
        <w:t>SpringSecurityFilterChain</w:t>
      </w:r>
      <w:r>
        <w:rPr>
          <w:rFonts w:hint="default" w:ascii="Arial" w:hAnsi="Arial" w:eastAsia="Tahoma" w:cs="Arial"/>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Tahoma" w:cs="Arial"/>
          <w:i w:val="0"/>
          <w:iCs w:val="0"/>
          <w:caps w:val="0"/>
          <w:color w:val="333333"/>
          <w:spacing w:val="0"/>
          <w:sz w:val="16"/>
          <w:szCs w:val="16"/>
          <w:shd w:val="clear" w:fill="FFFFFF"/>
          <w:lang w:val="en-US" w:eastAsia="zh-CN" w:bidi="ar-SA"/>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&gt;1&lt;/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web-app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Arial" w:hAnsi="Arial" w:eastAsia="Tahoma" w:cs="Arial"/>
          <w:b/>
          <w:bCs/>
          <w:i w:val="0"/>
          <w:iCs w:val="0"/>
          <w:caps w:val="0"/>
          <w:color w:val="333333"/>
          <w:spacing w:val="0"/>
          <w:kern w:val="0"/>
          <w:sz w:val="22"/>
          <w:szCs w:val="22"/>
          <w:shd w:val="clear" w:fill="FFFFFF"/>
          <w:lang w:val="en-US" w:eastAsia="zh-CN" w:bidi="ar-SA"/>
        </w:rPr>
        <w:t>springSecurityFilterChain</w:t>
      </w:r>
      <w:r>
        <w:rPr>
          <w:rFonts w:hint="default" w:ascii="Arial" w:hAnsi="Arial" w:eastAsia="Tahoma" w:cs="Arial"/>
          <w:i w:val="0"/>
          <w:iCs w:val="0"/>
          <w:caps w:val="0"/>
          <w:color w:val="333333"/>
          <w:spacing w:val="0"/>
          <w:kern w:val="0"/>
          <w:sz w:val="22"/>
          <w:szCs w:val="22"/>
          <w:shd w:val="clear" w:fill="FFFFFF"/>
          <w:lang w:val="en-US" w:eastAsia="zh-CN" w:bidi="ar-SA"/>
        </w:rPr>
        <w:t>. The </w:t>
      </w:r>
      <w:r>
        <w:rPr>
          <w:rFonts w:hint="default" w:ascii="Arial" w:hAnsi="Arial" w:eastAsia="Tahoma" w:cs="Arial"/>
          <w:b/>
          <w:bCs/>
          <w:i w:val="0"/>
          <w:iCs w:val="0"/>
          <w:caps w:val="0"/>
          <w:color w:val="333333"/>
          <w:spacing w:val="0"/>
          <w:kern w:val="0"/>
          <w:sz w:val="22"/>
          <w:szCs w:val="22"/>
          <w:shd w:val="clear" w:fill="FFFFFF"/>
          <w:lang w:val="en-US" w:eastAsia="zh-CN" w:bidi="ar-SA"/>
        </w:rPr>
        <w:t>DelegatingFilterProxy </w:t>
      </w:r>
      <w:r>
        <w:rPr>
          <w:rFonts w:hint="default" w:ascii="Arial" w:hAnsi="Arial" w:eastAsia="Tahoma" w:cs="Arial"/>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Tahoma" w:cs="Arial"/>
          <w:i w:val="0"/>
          <w:iCs w:val="0"/>
          <w:caps w:val="0"/>
          <w:color w:val="333333"/>
          <w:spacing w:val="0"/>
          <w:sz w:val="22"/>
          <w:szCs w:val="22"/>
          <w:shd w:val="clear" w:fill="FFFFFF"/>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 Security Hello world Example : </w:t>
      </w:r>
      <w:r>
        <w:rPr>
          <w:rFonts w:hint="default" w:ascii="Arial" w:hAnsi="Arial" w:eastAsia="Open Sans" w:cs="Arial"/>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r>
        <w:rPr>
          <w:rFonts w:hint="default" w:ascii="Arial" w:hAnsi="Arial" w:eastAsia="Open Sans" w:cs="Arial"/>
          <w:i w:val="0"/>
          <w:iCs w:val="0"/>
          <w:caps w:val="0"/>
          <w:color w:val="333333"/>
          <w:spacing w:val="0"/>
          <w:sz w:val="25"/>
          <w:szCs w:val="25"/>
          <w:shd w:val="clear" w:fill="FFFFFF"/>
        </w:rPr>
        <w:t>In the Maven we only need the </w:t>
      </w:r>
      <w:r>
        <w:rPr>
          <w:rFonts w:hint="default" w:ascii="Arial" w:hAnsi="Arial" w:eastAsia="Open Sans" w:cs="Arial"/>
          <w:b/>
          <w:bCs/>
          <w:i w:val="0"/>
          <w:iCs w:val="0"/>
          <w:caps w:val="0"/>
          <w:color w:val="333333"/>
          <w:spacing w:val="0"/>
          <w:sz w:val="25"/>
          <w:szCs w:val="25"/>
          <w:shd w:val="clear" w:fill="FFFFFF"/>
        </w:rPr>
        <w:t>spring-boot-starter-security</w:t>
      </w:r>
      <w:r>
        <w:rPr>
          <w:rFonts w:hint="default" w:ascii="Arial" w:hAnsi="Arial" w:eastAsia="Open Sans" w:cs="Arial"/>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&lt;artifactId&gt;</w:t>
      </w:r>
      <w:r>
        <w:rPr>
          <w:rFonts w:hint="default" w:ascii="Arial" w:hAnsi="Arial" w:eastAsia="Open Sans" w:cs="Arial"/>
          <w:b/>
          <w:bCs/>
          <w:i w:val="0"/>
          <w:iCs w:val="0"/>
          <w:caps w:val="0"/>
          <w:color w:val="333333"/>
          <w:spacing w:val="0"/>
          <w:sz w:val="18"/>
          <w:szCs w:val="18"/>
          <w:shd w:val="clear" w:fill="FFFFFF"/>
          <w:lang w:val="en-US" w:eastAsia="zh-CN"/>
        </w:rPr>
        <w:t>spring-boot-starter-security</w:t>
      </w:r>
      <w:r>
        <w:rPr>
          <w:rFonts w:hint="default" w:ascii="Arial" w:hAnsi="Arial" w:eastAsia="Open Sans" w:cs="Arial"/>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i w:val="0"/>
          <w:iCs w:val="0"/>
          <w:caps w:val="0"/>
          <w:color w:val="333333"/>
          <w:spacing w:val="0"/>
          <w:sz w:val="22"/>
          <w:szCs w:val="22"/>
          <w:shd w:val="clear" w:fill="FFFFFF"/>
        </w:rPr>
        <w:t>Lets not add any security configuration and run this code.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Goto-</w:t>
      </w:r>
      <w:r>
        <w:rPr>
          <w:rFonts w:hint="default" w:ascii="Arial" w:hAnsi="Arial" w:eastAsia="Open Sans" w:cs="Arial"/>
          <w:b/>
          <w:bCs/>
          <w:i w:val="0"/>
          <w:iCs w:val="0"/>
          <w:caps w:val="0"/>
          <w:color w:val="333333"/>
          <w:spacing w:val="0"/>
          <w:sz w:val="22"/>
          <w:szCs w:val="22"/>
          <w:shd w:val="clear" w:fill="FFFFFF"/>
        </w:rPr>
        <w:t>http://localhost:8080/listEmployees.html</w:t>
      </w:r>
      <w:r>
        <w:rPr>
          <w:rFonts w:hint="default" w:ascii="Arial" w:hAnsi="Arial" w:eastAsia="Open Sans" w:cs="Arial"/>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 xml:space="preserve">Lets customize the security configuration by writing our own authorization and authentication. For this create a new class SecurityConfig that extends the </w:t>
      </w:r>
      <w:r>
        <w:rPr>
          <w:rFonts w:hint="default" w:ascii="Arial" w:hAnsi="Arial" w:eastAsia="SimSun" w:cs="Arial"/>
          <w:b/>
          <w:bCs/>
          <w:sz w:val="22"/>
          <w:szCs w:val="22"/>
          <w:lang w:val="en-US" w:eastAsia="zh-CN"/>
        </w:rPr>
        <w:t xml:space="preserve">WebSecurityConfigurerAdapter </w:t>
      </w:r>
      <w:r>
        <w:rPr>
          <w:rFonts w:hint="default" w:ascii="Arial" w:hAnsi="Arial" w:eastAsia="SimSun" w:cs="Arial"/>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Understand Spring Security Architecture and implement Spring Boot Security :</w:t>
      </w:r>
    </w:p>
    <w:p>
      <w:pPr>
        <w:keepNext w:val="0"/>
        <w:keepLines w:val="0"/>
        <w:widowControl/>
        <w:suppressLineNumbers w:val="0"/>
        <w:jc w:val="left"/>
        <w:rPr>
          <w:rFonts w:hint="default" w:ascii="Arial" w:hAnsi="Arial" w:cs="Arial"/>
          <w:sz w:val="22"/>
          <w:szCs w:val="22"/>
        </w:rPr>
      </w:pPr>
      <w:r>
        <w:rPr>
          <w:rFonts w:hint="default" w:ascii="Arial" w:hAnsi="Arial" w:eastAsia="Open Sans" w:cs="Arial"/>
          <w:i w:val="0"/>
          <w:iCs w:val="0"/>
          <w:caps w:val="0"/>
          <w:color w:val="333333"/>
          <w:spacing w:val="0"/>
          <w:kern w:val="0"/>
          <w:sz w:val="22"/>
          <w:szCs w:val="22"/>
          <w:shd w:val="clear" w:fill="FFFFFF"/>
          <w:lang w:val="en-US" w:eastAsia="zh-CN" w:bidi="ar"/>
        </w:rPr>
        <w:t>how Spring Security works and its architecture. We will be creating a Spring Boot Project to expose two REST API's</w:t>
      </w:r>
    </w:p>
    <w:p>
      <w:pPr>
        <w:numPr>
          <w:ilvl w:val="0"/>
          <w:numId w:val="29"/>
        </w:numPr>
        <w:bidi w:val="0"/>
        <w:rPr>
          <w:rFonts w:hint="default" w:ascii="Arial" w:hAnsi="Arial" w:cs="Arial"/>
          <w:b/>
          <w:bCs/>
          <w:sz w:val="18"/>
          <w:szCs w:val="18"/>
        </w:rPr>
      </w:pPr>
      <w:r>
        <w:rPr>
          <w:rFonts w:hint="default" w:ascii="Arial" w:hAnsi="Arial" w:cs="Arial"/>
          <w:b/>
          <w:bCs/>
          <w:sz w:val="18"/>
          <w:szCs w:val="18"/>
        </w:rPr>
        <w:t>/helloadmin</w:t>
      </w:r>
    </w:p>
    <w:p>
      <w:pPr>
        <w:numPr>
          <w:ilvl w:val="0"/>
          <w:numId w:val="29"/>
        </w:numPr>
        <w:bidi w:val="0"/>
        <w:rPr>
          <w:rFonts w:hint="default" w:ascii="Arial" w:hAnsi="Arial" w:cs="Arial"/>
          <w:b/>
          <w:bCs/>
          <w:sz w:val="18"/>
          <w:szCs w:val="18"/>
        </w:rPr>
      </w:pPr>
      <w:r>
        <w:rPr>
          <w:rFonts w:hint="default" w:ascii="Arial" w:hAnsi="Arial" w:cs="Arial"/>
          <w:b/>
          <w:bCs/>
          <w:sz w:val="18"/>
          <w:szCs w:val="18"/>
        </w:rPr>
        <w:t>/hellouser</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r>
        <w:rPr>
          <w:rFonts w:hint="default" w:ascii="Arial" w:hAnsi="Arial" w:eastAsia="Open Sans" w:cs="Arial"/>
          <w:i w:val="0"/>
          <w:iCs w:val="0"/>
          <w:caps w:val="0"/>
          <w:color w:val="333333"/>
          <w:spacing w:val="0"/>
          <w:kern w:val="0"/>
          <w:sz w:val="22"/>
          <w:szCs w:val="22"/>
          <w:shd w:val="clear" w:fill="FFFFFF"/>
          <w:lang w:val="en-US" w:eastAsia="zh-CN" w:bidi="ar"/>
        </w:rPr>
        <w:t>We will then be implementing Spring Security such that a client having </w:t>
      </w:r>
      <w:r>
        <w:rPr>
          <w:rFonts w:hint="default" w:ascii="Arial" w:hAnsi="Arial" w:eastAsia="Open Sans" w:cs="Arial"/>
          <w:b/>
          <w:bCs/>
          <w:i w:val="0"/>
          <w:iCs w:val="0"/>
          <w:caps w:val="0"/>
          <w:color w:val="333333"/>
          <w:spacing w:val="0"/>
          <w:kern w:val="0"/>
          <w:sz w:val="22"/>
          <w:szCs w:val="22"/>
          <w:shd w:val="clear" w:fill="FFFFFF"/>
          <w:lang w:val="en-US" w:eastAsia="zh-CN" w:bidi="ar"/>
        </w:rPr>
        <w:t>Admin role will be able to access both /helloadmin and /hellouser API</w:t>
      </w:r>
      <w:r>
        <w:rPr>
          <w:rFonts w:hint="default" w:ascii="Arial" w:hAnsi="Arial" w:eastAsia="Open Sans" w:cs="Arial"/>
          <w:i w:val="0"/>
          <w:iCs w:val="0"/>
          <w:caps w:val="0"/>
          <w:color w:val="333333"/>
          <w:spacing w:val="0"/>
          <w:kern w:val="0"/>
          <w:sz w:val="22"/>
          <w:szCs w:val="22"/>
          <w:shd w:val="clear" w:fill="FFFFFF"/>
          <w:lang w:val="en-US" w:eastAsia="zh-CN" w:bidi="ar"/>
        </w:rPr>
        <w:t>. While a </w:t>
      </w:r>
      <w:r>
        <w:rPr>
          <w:rFonts w:hint="default" w:ascii="Arial" w:hAnsi="Arial" w:eastAsia="Open Sans" w:cs="Arial"/>
          <w:b/>
          <w:bCs/>
          <w:i w:val="0"/>
          <w:iCs w:val="0"/>
          <w:caps w:val="0"/>
          <w:color w:val="333333"/>
          <w:spacing w:val="0"/>
          <w:kern w:val="0"/>
          <w:sz w:val="22"/>
          <w:szCs w:val="22"/>
          <w:shd w:val="clear" w:fill="FFFFFF"/>
          <w:lang w:val="en-US" w:eastAsia="zh-CN" w:bidi="ar"/>
        </w:rPr>
        <w:t>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b/>
          <w:bCs/>
          <w:i w:val="0"/>
          <w:iCs w:val="0"/>
          <w:caps w:val="0"/>
          <w:color w:val="333333"/>
          <w:spacing w:val="0"/>
          <w:sz w:val="22"/>
          <w:szCs w:val="22"/>
          <w:shd w:val="clear" w:fill="FFFFFF"/>
        </w:rPr>
        <w:t>pom.xml</w:t>
      </w:r>
      <w:r>
        <w:rPr>
          <w:rFonts w:hint="default" w:ascii="Arial" w:hAnsi="Arial" w:eastAsia="Open Sans" w:cs="Arial"/>
          <w:b/>
          <w:bCs/>
          <w:i w:val="0"/>
          <w:iCs w:val="0"/>
          <w:caps w:val="0"/>
          <w:color w:val="333333"/>
          <w:spacing w:val="0"/>
          <w:sz w:val="22"/>
          <w:szCs w:val="22"/>
          <w:shd w:val="clear" w:fill="FFFFFF"/>
          <w:lang w:val="en-US"/>
        </w:rPr>
        <w: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 xmlns="http://maven.apache.org/POM/4.0.0" xmlns:xsi="http://www.w3.org/2001/XMLSchema-instance"</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xsi:schemaLocation="http://maven.apache.org/POM/4.0.0 https://maven.apache.org/xsd/maven-4.0.0.xsd"&gt;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&lt;modelVersion&gt;4.0.0&lt;/modelVersion&gt;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&lt;artifactId&gt;spring-boot-starter-parent&lt;/artifactId&gt;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b/>
          <w:bCs/>
          <w:sz w:val="15"/>
          <w:szCs w:val="15"/>
          <w:lang w:val="en-US" w:eastAsia="zh-CN"/>
        </w:rPr>
        <w:t>&lt;version&gt;2.2.0.RELEASE&lt;/version&gt;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&lt;relativePath /&gt; &lt;!-- lookup parent from repository --&gt;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&lt;groupId&gt;com.javainuse&lt;/groupId&gt;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&lt;artifactId&gt;spring-security&lt;/artifactId&gt;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&lt;version&gt;0.0.1-SNAPSHOT&lt;/version&gt;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&lt;name&gt;spring-security&lt;/name&gt;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&lt;description&gt;Demo project for Spring Boot&lt;/description&gt;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&lt;java.version&gt;1.8&lt;/java.version&gt;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&lt;artifactId&gt;spring-boot-starter-web&lt;/artifactId&gt;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&lt;artifactId&gt;spring-boot-starter-test&lt;/artifactId&gt;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&lt;scope&gt;test&lt;/scope&gt;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&lt;groupId&gt;org.junit.vintage&lt;/groupId&gt;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&lt;artifactId&gt;junit-vintage-engine&lt;/artifactId&gt;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&lt;artifactId&gt;spring-boot-maven-plugin&lt;/artifactId&gt;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org.springframework.web.bind.annotation.RequestMapping;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org.springframework.web.bind.annotation.RestController;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Understanding Spring Security Architecture : </w:t>
      </w:r>
      <w:r>
        <w:rPr>
          <w:rFonts w:hint="default" w:ascii="Arial" w:hAnsi="Arial" w:eastAsia="Open Sans" w:cs="Arial"/>
          <w:i w:val="0"/>
          <w:iCs w:val="0"/>
          <w:caps w:val="0"/>
          <w:color w:val="333333"/>
          <w:spacing w:val="0"/>
          <w:sz w:val="22"/>
          <w:szCs w:val="22"/>
          <w:shd w:val="clear" w:fill="FFFFFF"/>
        </w:rPr>
        <w:t>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33"/>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33"/>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4"/>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4"/>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5"/>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6"/>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6"/>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sz w:val="24"/>
          <w:szCs w:val="24"/>
          <w:lang w:val="en-US"/>
        </w:rPr>
      </w:pPr>
    </w:p>
    <w:p>
      <w:pPr>
        <w:bidi w:val="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lang w:val="en-US"/>
        </w:rPr>
      </w:pPr>
    </w:p>
    <w:p>
      <w:pPr>
        <w:bidi w:val="0"/>
        <w:rPr>
          <w:rFonts w:hint="default" w:ascii="Segoe UI" w:hAnsi="Segoe UI" w:cs="Segoe UI"/>
          <w:b/>
          <w:bCs/>
          <w:sz w:val="24"/>
          <w:szCs w:val="24"/>
          <w:lang w:val="en-US"/>
        </w:rPr>
      </w:pPr>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643194"/>
    <w:multiLevelType w:val="multilevel"/>
    <w:tmpl w:val="76643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4"/>
  </w:num>
  <w:num w:numId="2">
    <w:abstractNumId w:val="36"/>
  </w:num>
  <w:num w:numId="3">
    <w:abstractNumId w:val="14"/>
  </w:num>
  <w:num w:numId="4">
    <w:abstractNumId w:val="3"/>
  </w:num>
  <w:num w:numId="5">
    <w:abstractNumId w:val="29"/>
  </w:num>
  <w:num w:numId="6">
    <w:abstractNumId w:val="9"/>
  </w:num>
  <w:num w:numId="7">
    <w:abstractNumId w:val="25"/>
  </w:num>
  <w:num w:numId="8">
    <w:abstractNumId w:val="18"/>
  </w:num>
  <w:num w:numId="9">
    <w:abstractNumId w:val="22"/>
  </w:num>
  <w:num w:numId="10">
    <w:abstractNumId w:val="11"/>
  </w:num>
  <w:num w:numId="11">
    <w:abstractNumId w:val="30"/>
  </w:num>
  <w:num w:numId="12">
    <w:abstractNumId w:val="35"/>
  </w:num>
  <w:num w:numId="13">
    <w:abstractNumId w:val="13"/>
  </w:num>
  <w:num w:numId="14">
    <w:abstractNumId w:val="27"/>
  </w:num>
  <w:num w:numId="15">
    <w:abstractNumId w:val="15"/>
  </w:num>
  <w:num w:numId="16">
    <w:abstractNumId w:val="26"/>
  </w:num>
  <w:num w:numId="17">
    <w:abstractNumId w:val="7"/>
  </w:num>
  <w:num w:numId="18">
    <w:abstractNumId w:val="32"/>
  </w:num>
  <w:num w:numId="19">
    <w:abstractNumId w:val="16"/>
  </w:num>
  <w:num w:numId="20">
    <w:abstractNumId w:val="24"/>
  </w:num>
  <w:num w:numId="21">
    <w:abstractNumId w:val="21"/>
  </w:num>
  <w:num w:numId="22">
    <w:abstractNumId w:val="31"/>
  </w:num>
  <w:num w:numId="23">
    <w:abstractNumId w:val="0"/>
  </w:num>
  <w:num w:numId="24">
    <w:abstractNumId w:val="1"/>
  </w:num>
  <w:num w:numId="25">
    <w:abstractNumId w:val="5"/>
  </w:num>
  <w:num w:numId="26">
    <w:abstractNumId w:val="17"/>
  </w:num>
  <w:num w:numId="27">
    <w:abstractNumId w:val="12"/>
  </w:num>
  <w:num w:numId="28">
    <w:abstractNumId w:val="20"/>
  </w:num>
  <w:num w:numId="29">
    <w:abstractNumId w:val="33"/>
  </w:num>
  <w:num w:numId="30">
    <w:abstractNumId w:val="10"/>
  </w:num>
  <w:num w:numId="31">
    <w:abstractNumId w:val="6"/>
  </w:num>
  <w:num w:numId="32">
    <w:abstractNumId w:val="28"/>
  </w:num>
  <w:num w:numId="33">
    <w:abstractNumId w:val="19"/>
  </w:num>
  <w:num w:numId="34">
    <w:abstractNumId w:val="2"/>
  </w:num>
  <w:num w:numId="35">
    <w:abstractNumId w:val="23"/>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8561AA"/>
    <w:rsid w:val="0AE935DB"/>
    <w:rsid w:val="0B686737"/>
    <w:rsid w:val="0B807ECE"/>
    <w:rsid w:val="0B916553"/>
    <w:rsid w:val="0BBF5BFA"/>
    <w:rsid w:val="0BE1236B"/>
    <w:rsid w:val="0BED462D"/>
    <w:rsid w:val="0C442190"/>
    <w:rsid w:val="0C686647"/>
    <w:rsid w:val="0CD96FC5"/>
    <w:rsid w:val="0CE9203C"/>
    <w:rsid w:val="0D754942"/>
    <w:rsid w:val="0DA74BCD"/>
    <w:rsid w:val="0DF21B2C"/>
    <w:rsid w:val="0E641C7D"/>
    <w:rsid w:val="0EEB222B"/>
    <w:rsid w:val="0FB66782"/>
    <w:rsid w:val="0FF51451"/>
    <w:rsid w:val="10684D30"/>
    <w:rsid w:val="10694465"/>
    <w:rsid w:val="10D32EDA"/>
    <w:rsid w:val="10EC6979"/>
    <w:rsid w:val="111753D0"/>
    <w:rsid w:val="119B5F68"/>
    <w:rsid w:val="11DB4732"/>
    <w:rsid w:val="12965722"/>
    <w:rsid w:val="12C56857"/>
    <w:rsid w:val="12CB3722"/>
    <w:rsid w:val="12FA3C3D"/>
    <w:rsid w:val="138141ED"/>
    <w:rsid w:val="14143CB9"/>
    <w:rsid w:val="149F4D69"/>
    <w:rsid w:val="152115A8"/>
    <w:rsid w:val="15374862"/>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EB5263B"/>
    <w:rsid w:val="1EC5551C"/>
    <w:rsid w:val="1F0B0759"/>
    <w:rsid w:val="1F3963E7"/>
    <w:rsid w:val="1F3C73A7"/>
    <w:rsid w:val="1F48294F"/>
    <w:rsid w:val="1F4853B0"/>
    <w:rsid w:val="1F655C23"/>
    <w:rsid w:val="1F996243"/>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A466D8"/>
    <w:rsid w:val="3A126A22"/>
    <w:rsid w:val="3A7E0D6F"/>
    <w:rsid w:val="3A8B07DE"/>
    <w:rsid w:val="3B6C0CE5"/>
    <w:rsid w:val="3B7C56EB"/>
    <w:rsid w:val="3BCE4639"/>
    <w:rsid w:val="3C002AD0"/>
    <w:rsid w:val="3C575DEA"/>
    <w:rsid w:val="3CCF3C72"/>
    <w:rsid w:val="3CDC3E65"/>
    <w:rsid w:val="3D377F7D"/>
    <w:rsid w:val="3D744982"/>
    <w:rsid w:val="3D76641D"/>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D92178"/>
    <w:rsid w:val="42F46839"/>
    <w:rsid w:val="435A51BA"/>
    <w:rsid w:val="43EE108C"/>
    <w:rsid w:val="441A3189"/>
    <w:rsid w:val="44542EF8"/>
    <w:rsid w:val="44C25007"/>
    <w:rsid w:val="45452428"/>
    <w:rsid w:val="457C77B9"/>
    <w:rsid w:val="459A5E50"/>
    <w:rsid w:val="46964F2D"/>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724BF7"/>
    <w:rsid w:val="52EB716A"/>
    <w:rsid w:val="53072AC5"/>
    <w:rsid w:val="53201C6B"/>
    <w:rsid w:val="532427BD"/>
    <w:rsid w:val="53AD4CAD"/>
    <w:rsid w:val="53F54B29"/>
    <w:rsid w:val="53F75A64"/>
    <w:rsid w:val="540F3105"/>
    <w:rsid w:val="54932640"/>
    <w:rsid w:val="54C31A21"/>
    <w:rsid w:val="54D33CA7"/>
    <w:rsid w:val="54E26EC3"/>
    <w:rsid w:val="54E83B7A"/>
    <w:rsid w:val="555268AB"/>
    <w:rsid w:val="55C07993"/>
    <w:rsid w:val="56354094"/>
    <w:rsid w:val="56961657"/>
    <w:rsid w:val="577F2C29"/>
    <w:rsid w:val="57DA08AF"/>
    <w:rsid w:val="58316EA0"/>
    <w:rsid w:val="58AB741C"/>
    <w:rsid w:val="58E1041E"/>
    <w:rsid w:val="59ED77F0"/>
    <w:rsid w:val="5A6D4998"/>
    <w:rsid w:val="5A843CC1"/>
    <w:rsid w:val="5AA0579A"/>
    <w:rsid w:val="5B0427C0"/>
    <w:rsid w:val="5B4178E2"/>
    <w:rsid w:val="5B45381A"/>
    <w:rsid w:val="5BC81F3D"/>
    <w:rsid w:val="5BEC2AEA"/>
    <w:rsid w:val="5C305CA6"/>
    <w:rsid w:val="5C343004"/>
    <w:rsid w:val="5C3C403D"/>
    <w:rsid w:val="5C5050DC"/>
    <w:rsid w:val="5CCA709D"/>
    <w:rsid w:val="5D2275F6"/>
    <w:rsid w:val="5D321738"/>
    <w:rsid w:val="5E6B12B1"/>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3C0080"/>
    <w:rsid w:val="654858B5"/>
    <w:rsid w:val="658552B8"/>
    <w:rsid w:val="65D92BD1"/>
    <w:rsid w:val="65F61032"/>
    <w:rsid w:val="662D1409"/>
    <w:rsid w:val="66A202FF"/>
    <w:rsid w:val="66C07E16"/>
    <w:rsid w:val="66F2254E"/>
    <w:rsid w:val="67197FF8"/>
    <w:rsid w:val="67877D99"/>
    <w:rsid w:val="67A07105"/>
    <w:rsid w:val="67CF3CD0"/>
    <w:rsid w:val="67D13C8F"/>
    <w:rsid w:val="67DC0C12"/>
    <w:rsid w:val="68A66BFE"/>
    <w:rsid w:val="68FF76DF"/>
    <w:rsid w:val="69390255"/>
    <w:rsid w:val="69E66288"/>
    <w:rsid w:val="6A4A70CC"/>
    <w:rsid w:val="6A5A25E8"/>
    <w:rsid w:val="6A5A3B16"/>
    <w:rsid w:val="6A6A3F79"/>
    <w:rsid w:val="6AE3113D"/>
    <w:rsid w:val="6BA32A94"/>
    <w:rsid w:val="6C6C4F98"/>
    <w:rsid w:val="6E03373E"/>
    <w:rsid w:val="6E03791A"/>
    <w:rsid w:val="6E0C7DE5"/>
    <w:rsid w:val="6E13579A"/>
    <w:rsid w:val="6E4E2C2D"/>
    <w:rsid w:val="6E683BF7"/>
    <w:rsid w:val="6E8B2218"/>
    <w:rsid w:val="6E9C749A"/>
    <w:rsid w:val="6E9E768A"/>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315D66"/>
    <w:rsid w:val="73B177AF"/>
    <w:rsid w:val="73F90B26"/>
    <w:rsid w:val="742B46E2"/>
    <w:rsid w:val="74E91D41"/>
    <w:rsid w:val="75186746"/>
    <w:rsid w:val="7545747C"/>
    <w:rsid w:val="754E6F92"/>
    <w:rsid w:val="75CB7A23"/>
    <w:rsid w:val="75E9083B"/>
    <w:rsid w:val="765B0CCB"/>
    <w:rsid w:val="771162FA"/>
    <w:rsid w:val="78382D2B"/>
    <w:rsid w:val="78590166"/>
    <w:rsid w:val="78705FFB"/>
    <w:rsid w:val="78C60A47"/>
    <w:rsid w:val="79002B2A"/>
    <w:rsid w:val="790F130F"/>
    <w:rsid w:val="79131E15"/>
    <w:rsid w:val="79297FEB"/>
    <w:rsid w:val="79C86D44"/>
    <w:rsid w:val="79D61AA0"/>
    <w:rsid w:val="7A0916E8"/>
    <w:rsid w:val="7A3336B4"/>
    <w:rsid w:val="7AC33825"/>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2021-04-15T07:35:14Z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