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 Lease Summary - Suite 400, 88 Harbour Street</w:t>
      </w:r>
    </w:p>
    <w:p>
      <w:r>
        <w:t>Fictional demo document - synthetic data only</w:t>
      </w:r>
    </w:p>
    <w:p>
      <w:r>
        <w:t>Landlord: Pier Nine Holdings (fictional). Tenant: Harbourline Property Group.</w:t>
      </w:r>
    </w:p>
    <w:p>
      <w:pPr>
        <w:pStyle w:val="Heading2"/>
      </w:pPr>
      <w:r>
        <w:t>Key dates</w:t>
      </w:r>
    </w:p>
    <w:p>
      <w:r>
        <w:t>Commencement date: 1 July 2024. Expiry date: 30 June 2029. Term: 5 years.</w:t>
      </w:r>
    </w:p>
    <w:p>
      <w:r>
        <w:t>Renewal option: one further term of 5 years. The tenant must give written notice of renewal at least 6 months before expiry, i.e. no later than 31 December 2028.</w:t>
      </w:r>
    </w:p>
    <w:p>
      <w:pPr>
        <w:pStyle w:val="Heading2"/>
      </w:pPr>
      <w:r>
        <w:t>Rent</w:t>
      </w:r>
    </w:p>
    <w:p>
      <w:r>
        <w:t>Base rent: $8,500.00 per month, payable monthly in advance on the 1st.</w:t>
      </w:r>
    </w:p>
    <w:p>
      <w:r>
        <w:t>Rent review: fixed increase of 3% on each 1 July anniversary.</w:t>
      </w:r>
    </w:p>
    <w:p>
      <w:r>
        <w:t>Security deposit: $25,500.00 (three months' rent), held by the landlord.</w:t>
      </w:r>
    </w:p>
    <w:p>
      <w:pPr>
        <w:pStyle w:val="Heading2"/>
      </w:pPr>
      <w:r>
        <w:t>Responsibilities</w:t>
      </w:r>
    </w:p>
    <w:p>
      <w:r>
        <w:t>The landlord maintains the structure, roof and building services. The tenant is responsible for internal repairs, cleaning and its own utilities.</w:t>
      </w:r>
    </w:p>
    <w:p>
      <w:r>
        <w:t>Make-good: the tenant must return the premises in original condition, fair wear and tear excepted.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