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00FE4F9C"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5F954DA3" w:rsidR="002934F0" w:rsidRPr="00E869AA" w:rsidRDefault="00D12E1A" w:rsidP="005179C8">
      <w:pPr>
        <w:jc w:val="center"/>
      </w:pPr>
      <w:r>
        <w:t>Solicitation</w:t>
      </w:r>
      <w:r w:rsidR="002934F0" w:rsidRPr="00E869AA">
        <w:t>:</w:t>
      </w:r>
      <w:r w:rsidR="00AD22C3">
        <w:rPr>
          <w:b/>
          <w:bCs/>
        </w:rPr>
        <w:t>99SWC-S2381</w:t>
      </w:r>
    </w:p>
    <w:p w14:paraId="54E63840" w14:textId="53089180" w:rsidR="002934F0" w:rsidRPr="00E869AA" w:rsidRDefault="002934F0" w:rsidP="005179C8">
      <w:pPr>
        <w:jc w:val="center"/>
      </w:pPr>
      <w:r w:rsidRPr="00E869AA">
        <w:t>For</w:t>
      </w:r>
    </w:p>
    <w:p w14:paraId="3D0CFE4A" w14:textId="59615A6C" w:rsidR="004F1265" w:rsidRDefault="00AD22C3" w:rsidP="005179C8">
      <w:pPr>
        <w:jc w:val="center"/>
        <w:rPr>
          <w:b/>
          <w:bCs/>
        </w:rPr>
      </w:pPr>
      <w:r>
        <w:rPr>
          <w:b/>
          <w:bCs/>
        </w:rPr>
        <w:t xml:space="preserve">Fire Fuels and Vegetation </w:t>
      </w:r>
      <w:r w:rsidR="00390D2D">
        <w:rPr>
          <w:b/>
          <w:bCs/>
        </w:rPr>
        <w:t xml:space="preserve">Management </w:t>
      </w:r>
      <w:r w:rsidR="004F1265">
        <w:rPr>
          <w:b/>
          <w:bCs/>
        </w:rPr>
        <w:t>Services Statewide</w:t>
      </w:r>
    </w:p>
    <w:p w14:paraId="6C09ACE3" w14:textId="4F9EA235" w:rsidR="002934F0" w:rsidRPr="004F1265" w:rsidRDefault="00AD22C3" w:rsidP="005179C8">
      <w:pPr>
        <w:jc w:val="center"/>
        <w:rPr>
          <w:b/>
          <w:bCs/>
          <w:i/>
          <w:iCs/>
          <w:sz w:val="24"/>
          <w:szCs w:val="24"/>
        </w:rPr>
      </w:pPr>
      <w:r w:rsidRPr="004F1265">
        <w:rPr>
          <w:b/>
          <w:bCs/>
          <w:i/>
          <w:iCs/>
          <w:sz w:val="24"/>
          <w:szCs w:val="24"/>
        </w:rPr>
        <w:t>Ground Only</w:t>
      </w:r>
    </w:p>
    <w:p w14:paraId="04499821" w14:textId="77777777" w:rsidR="003B3F79" w:rsidRPr="00E869AA" w:rsidRDefault="003B3F79" w:rsidP="005179C8">
      <w:pPr>
        <w:jc w:val="center"/>
      </w:pPr>
    </w:p>
    <w:p w14:paraId="4461C066" w14:textId="0D0C67AB" w:rsidR="002934F0" w:rsidRPr="00E869AA" w:rsidRDefault="002934F0" w:rsidP="005179C8">
      <w:pPr>
        <w:jc w:val="center"/>
      </w:pPr>
      <w:r w:rsidRPr="00E869AA">
        <w:t>Release Date:</w:t>
      </w:r>
      <w:r w:rsidR="00411933" w:rsidRPr="00E869AA">
        <w:t xml:space="preserve"> </w:t>
      </w:r>
      <w:r w:rsidR="006E0050">
        <w:rPr>
          <w:b/>
          <w:bCs/>
        </w:rPr>
        <w:t>02/13/2024</w:t>
      </w:r>
    </w:p>
    <w:p w14:paraId="2B985DCC" w14:textId="6FCCDC16" w:rsidR="003B3F79" w:rsidRPr="00E869AA" w:rsidRDefault="002934F0" w:rsidP="005179C8">
      <w:pPr>
        <w:jc w:val="center"/>
      </w:pPr>
      <w:r w:rsidRPr="00E869AA">
        <w:t>Deadline for Submission and Opening Date and Time:</w:t>
      </w:r>
      <w:r w:rsidR="00411933" w:rsidRPr="00E869AA">
        <w:t xml:space="preserve"> </w:t>
      </w:r>
      <w:r w:rsidR="006E0050">
        <w:rPr>
          <w:b/>
          <w:bCs/>
        </w:rPr>
        <w:t>03/13/2024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44408DCB" w:rsidR="002934F0" w:rsidRPr="00E869AA" w:rsidRDefault="00AD22C3" w:rsidP="005179C8">
      <w:pPr>
        <w:jc w:val="center"/>
      </w:pPr>
      <w:r>
        <w:t>NANCY FESER, PURCHASING OFFICER II</w:t>
      </w:r>
    </w:p>
    <w:p w14:paraId="0E02F26B" w14:textId="41025DC8" w:rsidR="003B3F79" w:rsidRPr="00E869AA" w:rsidRDefault="002934F0" w:rsidP="005179C8">
      <w:pPr>
        <w:jc w:val="center"/>
      </w:pPr>
      <w:r w:rsidRPr="00E869AA">
        <w:t xml:space="preserve">Email </w:t>
      </w:r>
      <w:r w:rsidRPr="00AD22C3">
        <w:t>Address</w:t>
      </w:r>
      <w:r w:rsidR="008357FE" w:rsidRPr="00AD22C3">
        <w:t xml:space="preserve">, </w:t>
      </w:r>
      <w:hyperlink r:id="rId12" w:history="1">
        <w:r w:rsidR="00AD22C3" w:rsidRPr="00AD22C3">
          <w:rPr>
            <w:rStyle w:val="Hyperlink"/>
          </w:rPr>
          <w:t>nfeser@admin.nv.gov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F6ABEE0" w:rsidR="002934F0" w:rsidRPr="00E869AA" w:rsidRDefault="002934F0" w:rsidP="005179C8">
      <w:pPr>
        <w:jc w:val="center"/>
      </w:pPr>
      <w:r w:rsidRPr="00E869AA">
        <w:t>Ask the relay agent to dial</w:t>
      </w:r>
      <w:r w:rsidR="003E0EAD" w:rsidRPr="00E869AA">
        <w:t xml:space="preserve">, </w:t>
      </w:r>
      <w:r w:rsidRPr="00E869AA">
        <w:t>1-775-</w:t>
      </w:r>
      <w:r w:rsidR="00976775" w:rsidRPr="00E869AA">
        <w:t>515-5173</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0EB34402" w14:textId="2D00ED85" w:rsidR="00D01E88"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56979859" w:history="1">
        <w:r w:rsidR="00D01E88" w:rsidRPr="005F1E40">
          <w:rPr>
            <w:rStyle w:val="Hyperlink"/>
            <w:noProof/>
          </w:rPr>
          <w:t>1.</w:t>
        </w:r>
        <w:r w:rsidR="00D01E88">
          <w:rPr>
            <w:rFonts w:asciiTheme="minorHAnsi" w:eastAsiaTheme="minorEastAsia" w:hAnsiTheme="minorHAnsi" w:cstheme="minorBidi"/>
            <w:noProof/>
            <w:kern w:val="2"/>
            <w:sz w:val="24"/>
            <w:szCs w:val="24"/>
            <w14:ligatures w14:val="standardContextual"/>
          </w:rPr>
          <w:tab/>
        </w:r>
        <w:r w:rsidR="00D01E88" w:rsidRPr="005F1E40">
          <w:rPr>
            <w:rStyle w:val="Hyperlink"/>
            <w:noProof/>
          </w:rPr>
          <w:t>APPLICABLE REGULATIONS GOVERNING PROCUREMENT</w:t>
        </w:r>
        <w:r w:rsidR="00D01E88">
          <w:rPr>
            <w:noProof/>
            <w:webHidden/>
          </w:rPr>
          <w:tab/>
        </w:r>
        <w:r w:rsidR="00D01E88">
          <w:rPr>
            <w:noProof/>
            <w:webHidden/>
          </w:rPr>
          <w:fldChar w:fldCharType="begin"/>
        </w:r>
        <w:r w:rsidR="00D01E88">
          <w:rPr>
            <w:noProof/>
            <w:webHidden/>
          </w:rPr>
          <w:instrText xml:space="preserve"> PAGEREF _Toc156979859 \h </w:instrText>
        </w:r>
        <w:r w:rsidR="00D01E88">
          <w:rPr>
            <w:noProof/>
            <w:webHidden/>
          </w:rPr>
        </w:r>
        <w:r w:rsidR="00D01E88">
          <w:rPr>
            <w:noProof/>
            <w:webHidden/>
          </w:rPr>
          <w:fldChar w:fldCharType="separate"/>
        </w:r>
        <w:r w:rsidR="00D01E88">
          <w:rPr>
            <w:noProof/>
            <w:webHidden/>
          </w:rPr>
          <w:t>2</w:t>
        </w:r>
        <w:r w:rsidR="00D01E88">
          <w:rPr>
            <w:noProof/>
            <w:webHidden/>
          </w:rPr>
          <w:fldChar w:fldCharType="end"/>
        </w:r>
      </w:hyperlink>
    </w:p>
    <w:p w14:paraId="0E44B3C2" w14:textId="59761078" w:rsidR="00D01E88" w:rsidRDefault="005E002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6979860" w:history="1">
        <w:r w:rsidR="00D01E88" w:rsidRPr="005F1E40">
          <w:rPr>
            <w:rStyle w:val="Hyperlink"/>
            <w:noProof/>
          </w:rPr>
          <w:t>2.</w:t>
        </w:r>
        <w:r w:rsidR="00D01E88">
          <w:rPr>
            <w:rFonts w:asciiTheme="minorHAnsi" w:eastAsiaTheme="minorEastAsia" w:hAnsiTheme="minorHAnsi" w:cstheme="minorBidi"/>
            <w:noProof/>
            <w:kern w:val="2"/>
            <w:sz w:val="24"/>
            <w:szCs w:val="24"/>
            <w14:ligatures w14:val="standardContextual"/>
          </w:rPr>
          <w:tab/>
        </w:r>
        <w:r w:rsidR="00D01E88" w:rsidRPr="005F1E40">
          <w:rPr>
            <w:rStyle w:val="Hyperlink"/>
            <w:noProof/>
          </w:rPr>
          <w:t>PROJECT OVERVIEW</w:t>
        </w:r>
        <w:r w:rsidR="00D01E88">
          <w:rPr>
            <w:noProof/>
            <w:webHidden/>
          </w:rPr>
          <w:tab/>
        </w:r>
        <w:r w:rsidR="00D01E88">
          <w:rPr>
            <w:noProof/>
            <w:webHidden/>
          </w:rPr>
          <w:fldChar w:fldCharType="begin"/>
        </w:r>
        <w:r w:rsidR="00D01E88">
          <w:rPr>
            <w:noProof/>
            <w:webHidden/>
          </w:rPr>
          <w:instrText xml:space="preserve"> PAGEREF _Toc156979860 \h </w:instrText>
        </w:r>
        <w:r w:rsidR="00D01E88">
          <w:rPr>
            <w:noProof/>
            <w:webHidden/>
          </w:rPr>
        </w:r>
        <w:r w:rsidR="00D01E88">
          <w:rPr>
            <w:noProof/>
            <w:webHidden/>
          </w:rPr>
          <w:fldChar w:fldCharType="separate"/>
        </w:r>
        <w:r w:rsidR="00D01E88">
          <w:rPr>
            <w:noProof/>
            <w:webHidden/>
          </w:rPr>
          <w:t>2</w:t>
        </w:r>
        <w:r w:rsidR="00D01E88">
          <w:rPr>
            <w:noProof/>
            <w:webHidden/>
          </w:rPr>
          <w:fldChar w:fldCharType="end"/>
        </w:r>
      </w:hyperlink>
    </w:p>
    <w:p w14:paraId="7CB0C156" w14:textId="791D46EB" w:rsidR="00D01E88" w:rsidRDefault="005E002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6979861" w:history="1">
        <w:r w:rsidR="00D01E88" w:rsidRPr="005F1E40">
          <w:rPr>
            <w:rStyle w:val="Hyperlink"/>
            <w:noProof/>
          </w:rPr>
          <w:t>3.</w:t>
        </w:r>
        <w:r w:rsidR="00D01E88">
          <w:rPr>
            <w:rFonts w:asciiTheme="minorHAnsi" w:eastAsiaTheme="minorEastAsia" w:hAnsiTheme="minorHAnsi" w:cstheme="minorBidi"/>
            <w:noProof/>
            <w:kern w:val="2"/>
            <w:sz w:val="24"/>
            <w:szCs w:val="24"/>
            <w14:ligatures w14:val="standardContextual"/>
          </w:rPr>
          <w:tab/>
        </w:r>
        <w:r w:rsidR="00D01E88" w:rsidRPr="005F1E40">
          <w:rPr>
            <w:rStyle w:val="Hyperlink"/>
            <w:noProof/>
          </w:rPr>
          <w:t>REQUEST FOR QUALIFICATIONS</w:t>
        </w:r>
        <w:r w:rsidR="00D01E88">
          <w:rPr>
            <w:noProof/>
            <w:webHidden/>
          </w:rPr>
          <w:tab/>
        </w:r>
        <w:r w:rsidR="00D01E88">
          <w:rPr>
            <w:noProof/>
            <w:webHidden/>
          </w:rPr>
          <w:fldChar w:fldCharType="begin"/>
        </w:r>
        <w:r w:rsidR="00D01E88">
          <w:rPr>
            <w:noProof/>
            <w:webHidden/>
          </w:rPr>
          <w:instrText xml:space="preserve"> PAGEREF _Toc156979861 \h </w:instrText>
        </w:r>
        <w:r w:rsidR="00D01E88">
          <w:rPr>
            <w:noProof/>
            <w:webHidden/>
          </w:rPr>
        </w:r>
        <w:r w:rsidR="00D01E88">
          <w:rPr>
            <w:noProof/>
            <w:webHidden/>
          </w:rPr>
          <w:fldChar w:fldCharType="separate"/>
        </w:r>
        <w:r w:rsidR="00D01E88">
          <w:rPr>
            <w:noProof/>
            <w:webHidden/>
          </w:rPr>
          <w:t>3</w:t>
        </w:r>
        <w:r w:rsidR="00D01E88">
          <w:rPr>
            <w:noProof/>
            <w:webHidden/>
          </w:rPr>
          <w:fldChar w:fldCharType="end"/>
        </w:r>
      </w:hyperlink>
    </w:p>
    <w:p w14:paraId="23F5F25C" w14:textId="39987DA2" w:rsidR="00D01E88" w:rsidRDefault="005E002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6979862" w:history="1">
        <w:r w:rsidR="00D01E88" w:rsidRPr="005F1E40">
          <w:rPr>
            <w:rStyle w:val="Hyperlink"/>
            <w:noProof/>
          </w:rPr>
          <w:t>4.</w:t>
        </w:r>
        <w:r w:rsidR="00D01E88">
          <w:rPr>
            <w:rFonts w:asciiTheme="minorHAnsi" w:eastAsiaTheme="minorEastAsia" w:hAnsiTheme="minorHAnsi" w:cstheme="minorBidi"/>
            <w:noProof/>
            <w:kern w:val="2"/>
            <w:sz w:val="24"/>
            <w:szCs w:val="24"/>
            <w14:ligatures w14:val="standardContextual"/>
          </w:rPr>
          <w:tab/>
        </w:r>
        <w:r w:rsidR="00D01E88" w:rsidRPr="005F1E40">
          <w:rPr>
            <w:rStyle w:val="Hyperlink"/>
            <w:noProof/>
          </w:rPr>
          <w:t>ATTACHMENTS</w:t>
        </w:r>
        <w:r w:rsidR="00D01E88">
          <w:rPr>
            <w:noProof/>
            <w:webHidden/>
          </w:rPr>
          <w:tab/>
        </w:r>
        <w:r w:rsidR="00D01E88">
          <w:rPr>
            <w:noProof/>
            <w:webHidden/>
          </w:rPr>
          <w:fldChar w:fldCharType="begin"/>
        </w:r>
        <w:r w:rsidR="00D01E88">
          <w:rPr>
            <w:noProof/>
            <w:webHidden/>
          </w:rPr>
          <w:instrText xml:space="preserve"> PAGEREF _Toc156979862 \h </w:instrText>
        </w:r>
        <w:r w:rsidR="00D01E88">
          <w:rPr>
            <w:noProof/>
            <w:webHidden/>
          </w:rPr>
        </w:r>
        <w:r w:rsidR="00D01E88">
          <w:rPr>
            <w:noProof/>
            <w:webHidden/>
          </w:rPr>
          <w:fldChar w:fldCharType="separate"/>
        </w:r>
        <w:r w:rsidR="00D01E88">
          <w:rPr>
            <w:noProof/>
            <w:webHidden/>
          </w:rPr>
          <w:t>5</w:t>
        </w:r>
        <w:r w:rsidR="00D01E88">
          <w:rPr>
            <w:noProof/>
            <w:webHidden/>
          </w:rPr>
          <w:fldChar w:fldCharType="end"/>
        </w:r>
      </w:hyperlink>
    </w:p>
    <w:p w14:paraId="2D5F7F7A" w14:textId="56C4F7AA" w:rsidR="00D01E88" w:rsidRDefault="005E002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6979863" w:history="1">
        <w:r w:rsidR="00D01E88" w:rsidRPr="005F1E40">
          <w:rPr>
            <w:rStyle w:val="Hyperlink"/>
            <w:noProof/>
          </w:rPr>
          <w:t>5.</w:t>
        </w:r>
        <w:r w:rsidR="00D01E88">
          <w:rPr>
            <w:rFonts w:asciiTheme="minorHAnsi" w:eastAsiaTheme="minorEastAsia" w:hAnsiTheme="minorHAnsi" w:cstheme="minorBidi"/>
            <w:noProof/>
            <w:kern w:val="2"/>
            <w:sz w:val="24"/>
            <w:szCs w:val="24"/>
            <w14:ligatures w14:val="standardContextual"/>
          </w:rPr>
          <w:tab/>
        </w:r>
        <w:r w:rsidR="00D01E88" w:rsidRPr="005F1E40">
          <w:rPr>
            <w:rStyle w:val="Hyperlink"/>
            <w:noProof/>
          </w:rPr>
          <w:t>TIMELINE</w:t>
        </w:r>
        <w:r w:rsidR="00D01E88">
          <w:rPr>
            <w:noProof/>
            <w:webHidden/>
          </w:rPr>
          <w:tab/>
        </w:r>
        <w:r w:rsidR="00D01E88">
          <w:rPr>
            <w:noProof/>
            <w:webHidden/>
          </w:rPr>
          <w:fldChar w:fldCharType="begin"/>
        </w:r>
        <w:r w:rsidR="00D01E88">
          <w:rPr>
            <w:noProof/>
            <w:webHidden/>
          </w:rPr>
          <w:instrText xml:space="preserve"> PAGEREF _Toc156979863 \h </w:instrText>
        </w:r>
        <w:r w:rsidR="00D01E88">
          <w:rPr>
            <w:noProof/>
            <w:webHidden/>
          </w:rPr>
        </w:r>
        <w:r w:rsidR="00D01E88">
          <w:rPr>
            <w:noProof/>
            <w:webHidden/>
          </w:rPr>
          <w:fldChar w:fldCharType="separate"/>
        </w:r>
        <w:r w:rsidR="00D01E88">
          <w:rPr>
            <w:noProof/>
            <w:webHidden/>
          </w:rPr>
          <w:t>5</w:t>
        </w:r>
        <w:r w:rsidR="00D01E88">
          <w:rPr>
            <w:noProof/>
            <w:webHidden/>
          </w:rPr>
          <w:fldChar w:fldCharType="end"/>
        </w:r>
      </w:hyperlink>
    </w:p>
    <w:p w14:paraId="43AA2CCF" w14:textId="16415C19" w:rsidR="00D01E88" w:rsidRDefault="005E002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6979864" w:history="1">
        <w:r w:rsidR="00D01E88" w:rsidRPr="005F1E40">
          <w:rPr>
            <w:rStyle w:val="Hyperlink"/>
            <w:noProof/>
          </w:rPr>
          <w:t>6.</w:t>
        </w:r>
        <w:r w:rsidR="00D01E88">
          <w:rPr>
            <w:rFonts w:asciiTheme="minorHAnsi" w:eastAsiaTheme="minorEastAsia" w:hAnsiTheme="minorHAnsi" w:cstheme="minorBidi"/>
            <w:noProof/>
            <w:kern w:val="2"/>
            <w:sz w:val="24"/>
            <w:szCs w:val="24"/>
            <w14:ligatures w14:val="standardContextual"/>
          </w:rPr>
          <w:tab/>
        </w:r>
        <w:r w:rsidR="00D01E88" w:rsidRPr="005F1E40">
          <w:rPr>
            <w:rStyle w:val="Hyperlink"/>
            <w:noProof/>
          </w:rPr>
          <w:t>EVALUATION</w:t>
        </w:r>
        <w:r w:rsidR="00D01E88">
          <w:rPr>
            <w:noProof/>
            <w:webHidden/>
          </w:rPr>
          <w:tab/>
        </w:r>
        <w:r w:rsidR="00D01E88">
          <w:rPr>
            <w:noProof/>
            <w:webHidden/>
          </w:rPr>
          <w:fldChar w:fldCharType="begin"/>
        </w:r>
        <w:r w:rsidR="00D01E88">
          <w:rPr>
            <w:noProof/>
            <w:webHidden/>
          </w:rPr>
          <w:instrText xml:space="preserve"> PAGEREF _Toc156979864 \h </w:instrText>
        </w:r>
        <w:r w:rsidR="00D01E88">
          <w:rPr>
            <w:noProof/>
            <w:webHidden/>
          </w:rPr>
        </w:r>
        <w:r w:rsidR="00D01E88">
          <w:rPr>
            <w:noProof/>
            <w:webHidden/>
          </w:rPr>
          <w:fldChar w:fldCharType="separate"/>
        </w:r>
        <w:r w:rsidR="00D01E88">
          <w:rPr>
            <w:noProof/>
            <w:webHidden/>
          </w:rPr>
          <w:t>5</w:t>
        </w:r>
        <w:r w:rsidR="00D01E88">
          <w:rPr>
            <w:noProof/>
            <w:webHidden/>
          </w:rPr>
          <w:fldChar w:fldCharType="end"/>
        </w:r>
      </w:hyperlink>
    </w:p>
    <w:p w14:paraId="7285D198" w14:textId="25DCE777" w:rsidR="00D01E88" w:rsidRDefault="005E002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6979865" w:history="1">
        <w:r w:rsidR="00D01E88" w:rsidRPr="005F1E40">
          <w:rPr>
            <w:rStyle w:val="Hyperlink"/>
            <w:noProof/>
          </w:rPr>
          <w:t>7.</w:t>
        </w:r>
        <w:r w:rsidR="00D01E88">
          <w:rPr>
            <w:rFonts w:asciiTheme="minorHAnsi" w:eastAsiaTheme="minorEastAsia" w:hAnsiTheme="minorHAnsi" w:cstheme="minorBidi"/>
            <w:noProof/>
            <w:kern w:val="2"/>
            <w:sz w:val="24"/>
            <w:szCs w:val="24"/>
            <w14:ligatures w14:val="standardContextual"/>
          </w:rPr>
          <w:tab/>
        </w:r>
        <w:r w:rsidR="00D01E88" w:rsidRPr="005F1E40">
          <w:rPr>
            <w:rStyle w:val="Hyperlink"/>
            <w:noProof/>
          </w:rPr>
          <w:t>MANDATORY MINIMUM REQUIREMENTS</w:t>
        </w:r>
        <w:r w:rsidR="00D01E88">
          <w:rPr>
            <w:noProof/>
            <w:webHidden/>
          </w:rPr>
          <w:tab/>
        </w:r>
        <w:r w:rsidR="00D01E88">
          <w:rPr>
            <w:noProof/>
            <w:webHidden/>
          </w:rPr>
          <w:fldChar w:fldCharType="begin"/>
        </w:r>
        <w:r w:rsidR="00D01E88">
          <w:rPr>
            <w:noProof/>
            <w:webHidden/>
          </w:rPr>
          <w:instrText xml:space="preserve"> PAGEREF _Toc156979865 \h </w:instrText>
        </w:r>
        <w:r w:rsidR="00D01E88">
          <w:rPr>
            <w:noProof/>
            <w:webHidden/>
          </w:rPr>
        </w:r>
        <w:r w:rsidR="00D01E88">
          <w:rPr>
            <w:noProof/>
            <w:webHidden/>
          </w:rPr>
          <w:fldChar w:fldCharType="separate"/>
        </w:r>
        <w:r w:rsidR="00D01E88">
          <w:rPr>
            <w:noProof/>
            <w:webHidden/>
          </w:rPr>
          <w:t>6</w:t>
        </w:r>
        <w:r w:rsidR="00D01E88">
          <w:rPr>
            <w:noProof/>
            <w:webHidden/>
          </w:rPr>
          <w:fldChar w:fldCharType="end"/>
        </w:r>
      </w:hyperlink>
    </w:p>
    <w:p w14:paraId="12C6B09A" w14:textId="5A3FE083" w:rsidR="00D01E88" w:rsidRDefault="005E002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6979866" w:history="1">
        <w:r w:rsidR="00D01E88" w:rsidRPr="005F1E40">
          <w:rPr>
            <w:rStyle w:val="Hyperlink"/>
            <w:noProof/>
          </w:rPr>
          <w:t>8.</w:t>
        </w:r>
        <w:r w:rsidR="00D01E88">
          <w:rPr>
            <w:rFonts w:asciiTheme="minorHAnsi" w:eastAsiaTheme="minorEastAsia" w:hAnsiTheme="minorHAnsi" w:cstheme="minorBidi"/>
            <w:noProof/>
            <w:kern w:val="2"/>
            <w:sz w:val="24"/>
            <w:szCs w:val="24"/>
            <w14:ligatures w14:val="standardContextual"/>
          </w:rPr>
          <w:tab/>
        </w:r>
        <w:r w:rsidR="00D01E88" w:rsidRPr="005F1E40">
          <w:rPr>
            <w:rStyle w:val="Hyperlink"/>
            <w:noProof/>
          </w:rPr>
          <w:t>CRITICAL ITEMS</w:t>
        </w:r>
        <w:r w:rsidR="00D01E88">
          <w:rPr>
            <w:noProof/>
            <w:webHidden/>
          </w:rPr>
          <w:tab/>
        </w:r>
        <w:r w:rsidR="00D01E88">
          <w:rPr>
            <w:noProof/>
            <w:webHidden/>
          </w:rPr>
          <w:fldChar w:fldCharType="begin"/>
        </w:r>
        <w:r w:rsidR="00D01E88">
          <w:rPr>
            <w:noProof/>
            <w:webHidden/>
          </w:rPr>
          <w:instrText xml:space="preserve"> PAGEREF _Toc156979866 \h </w:instrText>
        </w:r>
        <w:r w:rsidR="00D01E88">
          <w:rPr>
            <w:noProof/>
            <w:webHidden/>
          </w:rPr>
        </w:r>
        <w:r w:rsidR="00D01E88">
          <w:rPr>
            <w:noProof/>
            <w:webHidden/>
          </w:rPr>
          <w:fldChar w:fldCharType="separate"/>
        </w:r>
        <w:r w:rsidR="00D01E88">
          <w:rPr>
            <w:noProof/>
            <w:webHidden/>
          </w:rPr>
          <w:t>7</w:t>
        </w:r>
        <w:r w:rsidR="00D01E88">
          <w:rPr>
            <w:noProof/>
            <w:webHidden/>
          </w:rPr>
          <w:fldChar w:fldCharType="end"/>
        </w:r>
      </w:hyperlink>
    </w:p>
    <w:p w14:paraId="6B71CB80" w14:textId="74F19EC8" w:rsidR="00D01E88" w:rsidRDefault="005E002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6979867" w:history="1">
        <w:r w:rsidR="00D01E88" w:rsidRPr="005F1E40">
          <w:rPr>
            <w:rStyle w:val="Hyperlink"/>
            <w:noProof/>
          </w:rPr>
          <w:t>9.</w:t>
        </w:r>
        <w:r w:rsidR="00D01E88">
          <w:rPr>
            <w:rFonts w:asciiTheme="minorHAnsi" w:eastAsiaTheme="minorEastAsia" w:hAnsiTheme="minorHAnsi" w:cstheme="minorBidi"/>
            <w:noProof/>
            <w:kern w:val="2"/>
            <w:sz w:val="24"/>
            <w:szCs w:val="24"/>
            <w14:ligatures w14:val="standardContextual"/>
          </w:rPr>
          <w:tab/>
        </w:r>
        <w:r w:rsidR="00D01E88" w:rsidRPr="005F1E40">
          <w:rPr>
            <w:rStyle w:val="Hyperlink"/>
            <w:noProof/>
          </w:rPr>
          <w:t>SUBMISSION CHECKLIST</w:t>
        </w:r>
        <w:r w:rsidR="00D01E88">
          <w:rPr>
            <w:noProof/>
            <w:webHidden/>
          </w:rPr>
          <w:tab/>
        </w:r>
        <w:r w:rsidR="00D01E88">
          <w:rPr>
            <w:noProof/>
            <w:webHidden/>
          </w:rPr>
          <w:fldChar w:fldCharType="begin"/>
        </w:r>
        <w:r w:rsidR="00D01E88">
          <w:rPr>
            <w:noProof/>
            <w:webHidden/>
          </w:rPr>
          <w:instrText xml:space="preserve"> PAGEREF _Toc156979867 \h </w:instrText>
        </w:r>
        <w:r w:rsidR="00D01E88">
          <w:rPr>
            <w:noProof/>
            <w:webHidden/>
          </w:rPr>
        </w:r>
        <w:r w:rsidR="00D01E88">
          <w:rPr>
            <w:noProof/>
            <w:webHidden/>
          </w:rPr>
          <w:fldChar w:fldCharType="separate"/>
        </w:r>
        <w:r w:rsidR="00D01E88">
          <w:rPr>
            <w:noProof/>
            <w:webHidden/>
          </w:rPr>
          <w:t>8</w:t>
        </w:r>
        <w:r w:rsidR="00D01E88">
          <w:rPr>
            <w:noProof/>
            <w:webHidden/>
          </w:rPr>
          <w:fldChar w:fldCharType="end"/>
        </w:r>
      </w:hyperlink>
    </w:p>
    <w:p w14:paraId="1069BF31" w14:textId="0798D940"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56979859"/>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87131B">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Pr="0087131B" w:rsidRDefault="00CF2223" w:rsidP="0087131B">
      <w:pPr>
        <w:pStyle w:val="Heading2"/>
      </w:pPr>
      <w:r>
        <w:t xml:space="preserve">SINGLE POINT OF CONTACT. </w:t>
      </w:r>
      <w:r w:rsidRPr="0087131B">
        <w:t>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87131B">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56979860"/>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4673A30C" w14:textId="66B03742" w:rsidR="00AD22C3" w:rsidRPr="0087131B" w:rsidRDefault="00AD22C3" w:rsidP="0087131B">
      <w:pPr>
        <w:pStyle w:val="Heading2"/>
      </w:pPr>
      <w:r w:rsidRPr="0087131B">
        <w:t xml:space="preserve">The State of Nevada Purchasing Division is seeking proposals from qualified vendors to provide Fire Fuel Reduction and Vegetation Services statewide.  The intent of this RFQ is to qualify vendors in which agencies will request bids on an as needed basis from the list of qualified vendors.  The RFQ does not hold awarded vendors to any prices, nor does it obligate the State to purchase goods or services from all awarded vendors.  The purchase amount will be controlled by the individual using agencies through a purchase order submitted or specific scope of work and accepted by the vendor once an individual project has been bid and awarded and the vendor enters into a Services Agreement with the using Agency, refer to Service Agreement for Statewide Contracts and </w:t>
      </w:r>
      <w:r w:rsidR="007B2775" w:rsidRPr="0087131B">
        <w:t>Mini Bid</w:t>
      </w:r>
      <w:r w:rsidRPr="0087131B">
        <w:t xml:space="preserve"> Process. </w:t>
      </w:r>
    </w:p>
    <w:p w14:paraId="5D42DC73" w14:textId="77777777" w:rsidR="00AD22C3" w:rsidRPr="00AD22C3" w:rsidRDefault="00AD22C3" w:rsidP="00AD22C3">
      <w:pPr>
        <w:widowControl/>
        <w:ind w:left="720"/>
        <w:contextualSpacing w:val="0"/>
        <w:rPr>
          <w:rFonts w:eastAsia="Times New Roman"/>
          <w:sz w:val="24"/>
          <w:szCs w:val="24"/>
        </w:rPr>
      </w:pPr>
    </w:p>
    <w:p w14:paraId="6910007E" w14:textId="7FBC1E69" w:rsidR="00AD22C3" w:rsidRPr="00AD22C3" w:rsidRDefault="00AD22C3" w:rsidP="0087131B">
      <w:pPr>
        <w:pStyle w:val="Heading2"/>
      </w:pPr>
      <w:r w:rsidRPr="00AD22C3">
        <w:t>The State may award one (1) or more contracts in conjunction with this RFQ, as determined in the best interests of the State.  It is the intention of the State to award contract(s) on a statewide basis; however, proposals may be considered regionally (Northern, Southern, Rural).  The vendor’s proposal must identify the geographic region(s) in which services are being offered.</w:t>
      </w:r>
    </w:p>
    <w:p w14:paraId="25EFBE03" w14:textId="77777777" w:rsidR="00AD22C3" w:rsidRPr="00AD22C3" w:rsidRDefault="00AD22C3" w:rsidP="00AD22C3">
      <w:pPr>
        <w:widowControl/>
        <w:ind w:left="720"/>
        <w:contextualSpacing w:val="0"/>
        <w:rPr>
          <w:rFonts w:eastAsia="Times New Roman"/>
          <w:sz w:val="24"/>
          <w:szCs w:val="24"/>
        </w:rPr>
      </w:pPr>
      <w:r w:rsidRPr="00AD22C3">
        <w:rPr>
          <w:rFonts w:eastAsia="Times New Roman"/>
          <w:sz w:val="24"/>
          <w:szCs w:val="24"/>
        </w:rPr>
        <w:tab/>
      </w:r>
    </w:p>
    <w:p w14:paraId="79594391" w14:textId="3533AC97" w:rsidR="00AD22C3" w:rsidRPr="00AD22C3" w:rsidRDefault="00AD22C3" w:rsidP="0087131B">
      <w:pPr>
        <w:pStyle w:val="Heading2"/>
      </w:pPr>
      <w:r w:rsidRPr="00AD22C3">
        <w:t>This contract(s) will be mandatory for State agencies located in geographic regions serviced by the contract.  The University and Community College System, the Court System, the Legislative Counsel Bureau, and Political Subdivisions (i.e., cities, counties, school districts, etc.) may use the contract(s) resulting from this RFQ; however, they are not required to do so.</w:t>
      </w:r>
    </w:p>
    <w:p w14:paraId="708200A4" w14:textId="77777777" w:rsidR="00AD22C3" w:rsidRPr="00AD22C3" w:rsidRDefault="00AD22C3" w:rsidP="00AD22C3">
      <w:pPr>
        <w:widowControl/>
        <w:ind w:left="720"/>
        <w:contextualSpacing w:val="0"/>
        <w:rPr>
          <w:rFonts w:eastAsia="Times New Roman"/>
          <w:sz w:val="24"/>
          <w:szCs w:val="24"/>
        </w:rPr>
      </w:pPr>
      <w:r w:rsidRPr="00AD22C3">
        <w:rPr>
          <w:rFonts w:eastAsia="Times New Roman"/>
          <w:sz w:val="24"/>
          <w:szCs w:val="24"/>
        </w:rPr>
        <w:tab/>
      </w:r>
    </w:p>
    <w:p w14:paraId="465F943B" w14:textId="439C979A" w:rsidR="00AD22C3" w:rsidRPr="00AD22C3" w:rsidRDefault="00AD22C3" w:rsidP="0087131B">
      <w:pPr>
        <w:pStyle w:val="Heading2"/>
      </w:pPr>
      <w:r w:rsidRPr="00AD22C3">
        <w:t xml:space="preserve">The State Purchasing Division will administer contract(s) resulting from this RFQ.  The resulting contract(s), anticipated to begin </w:t>
      </w:r>
      <w:r w:rsidR="00F526E2">
        <w:t>May 14</w:t>
      </w:r>
      <w:r w:rsidR="007B66B5">
        <w:t>, 2024,</w:t>
      </w:r>
      <w:r w:rsidRPr="00AD22C3">
        <w:t xml:space="preserve"> subject to Board of Examiners approval, with an option to renew for two (2) additional years, if agreed upon by both parties and in the best interests of the State.</w:t>
      </w:r>
    </w:p>
    <w:p w14:paraId="5BC670A0" w14:textId="77777777" w:rsidR="00AD22C3" w:rsidRPr="00AD22C3" w:rsidRDefault="00AD22C3" w:rsidP="00AD22C3">
      <w:pPr>
        <w:widowControl/>
        <w:ind w:left="720"/>
        <w:contextualSpacing w:val="0"/>
        <w:rPr>
          <w:rFonts w:eastAsia="Times New Roman"/>
          <w:sz w:val="24"/>
          <w:szCs w:val="24"/>
        </w:rPr>
      </w:pPr>
      <w:r w:rsidRPr="00AD22C3">
        <w:rPr>
          <w:rFonts w:eastAsia="Times New Roman"/>
          <w:sz w:val="24"/>
          <w:szCs w:val="24"/>
        </w:rPr>
        <w:tab/>
      </w:r>
    </w:p>
    <w:p w14:paraId="66DB981E" w14:textId="77777777" w:rsidR="00AD22C3" w:rsidRPr="00AD22C3" w:rsidRDefault="00AD22C3" w:rsidP="0087131B">
      <w:pPr>
        <w:pStyle w:val="Heading2"/>
      </w:pPr>
      <w:r w:rsidRPr="00AD22C3">
        <w:t>The State reserves the right to accept vendor proposals for qualification on an ongoing basis.  Any future contract awards will be written based upon termination dates concurrent with contracts awarded as a result of the original RFQ.</w:t>
      </w:r>
    </w:p>
    <w:p w14:paraId="45D94CEA" w14:textId="3C687E9B" w:rsidR="00D851AD" w:rsidRPr="00B66FFF" w:rsidRDefault="00D851AD" w:rsidP="00C371BD"/>
    <w:p w14:paraId="5F92031A" w14:textId="47B2D1EE" w:rsidR="002B726B" w:rsidRPr="00E07DDD" w:rsidRDefault="003168D7" w:rsidP="0087131B">
      <w:pPr>
        <w:pStyle w:val="Heading2"/>
      </w:pPr>
      <w:r w:rsidRPr="00E07DDD">
        <w:t>GOALS AND OBJECTIVES</w:t>
      </w:r>
    </w:p>
    <w:p w14:paraId="04AFA635" w14:textId="77777777" w:rsidR="004C2217" w:rsidRPr="00B66FFF" w:rsidRDefault="004C2217" w:rsidP="00C371BD"/>
    <w:p w14:paraId="53E5CD51" w14:textId="763FC193" w:rsidR="007B2775" w:rsidRPr="007B2775" w:rsidRDefault="007B2775" w:rsidP="007B2775">
      <w:pPr>
        <w:pStyle w:val="Heading3"/>
      </w:pPr>
      <w:r w:rsidRPr="007B2775">
        <w:t xml:space="preserve">All work is to be performed in a professional manner, with due diligence paid to protecting Government and private property and ensuring a safe working environment for crew members.  Equipment and </w:t>
      </w:r>
      <w:r w:rsidR="009C6433" w:rsidRPr="007B2775">
        <w:t>crew</w:t>
      </w:r>
      <w:r w:rsidRPr="007B2775">
        <w:t xml:space="preserve"> must be fully compliant with State and local employer safety and fire prevention codes and ordinances.  Key personnel are required to ensure crew safety, as well as an industry accepted level of production.  Routine inspections will be conducted by </w:t>
      </w:r>
      <w:r w:rsidR="009C6433" w:rsidRPr="007B2775">
        <w:t>the contracting</w:t>
      </w:r>
      <w:r w:rsidRPr="007B2775">
        <w:t xml:space="preserve"> agency to determine quality of work, production levels, and compliance with site protection requirements. Vendors will be required to have appropriate license(s) and insurance to qualify for all work in this RFQ.    Copy of appropriate license(s) must be submitted with proposal.  Vendors may also be required to provide a Performance Security in the form of a Surety Bond, Certificate of Deposit or Treasury Note.  This requirement will be on a project-by-project basis and will be in an amount up to 100% of the project total.</w:t>
      </w:r>
    </w:p>
    <w:p w14:paraId="32027FC8" w14:textId="77777777" w:rsidR="007B2775" w:rsidRPr="007B2775" w:rsidRDefault="007B2775" w:rsidP="007B2775">
      <w:pPr>
        <w:widowControl/>
        <w:contextualSpacing w:val="0"/>
        <w:jc w:val="left"/>
        <w:rPr>
          <w:rFonts w:eastAsia="Times New Roman"/>
          <w:sz w:val="24"/>
          <w:szCs w:val="24"/>
        </w:rPr>
      </w:pPr>
    </w:p>
    <w:p w14:paraId="24ECEFF4" w14:textId="77777777" w:rsidR="007B2775" w:rsidRPr="007B2775" w:rsidRDefault="007B2775" w:rsidP="00104F72">
      <w:pPr>
        <w:pStyle w:val="Heading4"/>
      </w:pPr>
      <w:r w:rsidRPr="007B2775">
        <w:t>Services may include, but are not necessarily limited to:</w:t>
      </w:r>
    </w:p>
    <w:p w14:paraId="30BE2461" w14:textId="77777777" w:rsidR="007B2775" w:rsidRPr="007B2775" w:rsidRDefault="007B2775" w:rsidP="007B2775">
      <w:pPr>
        <w:widowControl/>
        <w:contextualSpacing w:val="0"/>
        <w:jc w:val="left"/>
        <w:rPr>
          <w:rFonts w:eastAsia="Times New Roman"/>
          <w:sz w:val="24"/>
          <w:szCs w:val="24"/>
        </w:rPr>
      </w:pPr>
    </w:p>
    <w:p w14:paraId="06371014" w14:textId="39CDD329" w:rsidR="007B2775" w:rsidRPr="00544D8D" w:rsidRDefault="007B2775" w:rsidP="00544D8D">
      <w:pPr>
        <w:pStyle w:val="Heading5"/>
      </w:pPr>
      <w:r w:rsidRPr="007B2775">
        <w:t>Forest Management Hand Crews</w:t>
      </w:r>
    </w:p>
    <w:p w14:paraId="09709314" w14:textId="77777777" w:rsidR="007B2775" w:rsidRPr="007B2775" w:rsidRDefault="007B2775" w:rsidP="00097FDB">
      <w:pPr>
        <w:pStyle w:val="Heading5"/>
      </w:pPr>
      <w:r w:rsidRPr="007B2775">
        <w:t>Large Tree Removal</w:t>
      </w:r>
    </w:p>
    <w:p w14:paraId="3EC72881" w14:textId="77777777" w:rsidR="007B2775" w:rsidRPr="007B2775" w:rsidRDefault="007B2775" w:rsidP="007B2775">
      <w:pPr>
        <w:widowControl/>
        <w:contextualSpacing w:val="0"/>
        <w:jc w:val="left"/>
        <w:rPr>
          <w:rFonts w:eastAsia="Times New Roman"/>
          <w:sz w:val="24"/>
          <w:szCs w:val="24"/>
        </w:rPr>
      </w:pPr>
    </w:p>
    <w:p w14:paraId="651A8583" w14:textId="0B2C4050" w:rsidR="007B2775" w:rsidRPr="00544D8D" w:rsidRDefault="007B2775" w:rsidP="00544D8D">
      <w:pPr>
        <w:pStyle w:val="Heading5"/>
      </w:pPr>
      <w:r w:rsidRPr="007B2775">
        <w:lastRenderedPageBreak/>
        <w:t xml:space="preserve">Forestry Equipment </w:t>
      </w:r>
    </w:p>
    <w:p w14:paraId="17756AB6" w14:textId="0E396616" w:rsidR="007B2775" w:rsidRPr="00544D8D" w:rsidRDefault="007B2775" w:rsidP="00544D8D">
      <w:pPr>
        <w:pStyle w:val="Heading5"/>
      </w:pPr>
      <w:r w:rsidRPr="007B2775">
        <w:t>Pesticide Application</w:t>
      </w:r>
    </w:p>
    <w:p w14:paraId="1A9821CC" w14:textId="3FD4C7C0" w:rsidR="007B2775" w:rsidRPr="00544D8D" w:rsidRDefault="007B2775" w:rsidP="00544D8D">
      <w:pPr>
        <w:pStyle w:val="Heading5"/>
      </w:pPr>
      <w:r w:rsidRPr="007B2775">
        <w:t>Seed Drills/Application</w:t>
      </w:r>
    </w:p>
    <w:p w14:paraId="3A40DFA0" w14:textId="5B549857" w:rsidR="007B2775" w:rsidRPr="00544D8D" w:rsidRDefault="007B2775" w:rsidP="00544D8D">
      <w:pPr>
        <w:pStyle w:val="Heading5"/>
      </w:pPr>
      <w:r w:rsidRPr="007B2775">
        <w:t>Hauling Services</w:t>
      </w:r>
    </w:p>
    <w:p w14:paraId="715414F4" w14:textId="67A64317" w:rsidR="007B2775" w:rsidRPr="00544D8D" w:rsidRDefault="007B2775" w:rsidP="00544D8D">
      <w:pPr>
        <w:pStyle w:val="Heading5"/>
      </w:pPr>
      <w:r w:rsidRPr="007B2775">
        <w:t>Ground Seeders/Spreaders</w:t>
      </w:r>
    </w:p>
    <w:p w14:paraId="4D2EA411" w14:textId="6EFF1F0D" w:rsidR="007B2775" w:rsidRPr="00544D8D" w:rsidRDefault="007B2775" w:rsidP="00544D8D">
      <w:pPr>
        <w:pStyle w:val="Heading5"/>
      </w:pPr>
      <w:r w:rsidRPr="007B2775">
        <w:t>Shrub and Tree Planting</w:t>
      </w:r>
    </w:p>
    <w:p w14:paraId="1D00A2B0" w14:textId="7F640DD1" w:rsidR="007B2775" w:rsidRPr="00544D8D" w:rsidRDefault="007B2775" w:rsidP="00544D8D">
      <w:pPr>
        <w:pStyle w:val="Heading5"/>
      </w:pPr>
      <w:r w:rsidRPr="007B2775">
        <w:t xml:space="preserve">Controlled Fire </w:t>
      </w:r>
    </w:p>
    <w:p w14:paraId="63B7C4F5" w14:textId="68F7BD6C" w:rsidR="007B2775" w:rsidRPr="00544D8D" w:rsidRDefault="007B2775" w:rsidP="00544D8D">
      <w:pPr>
        <w:pStyle w:val="Heading5"/>
      </w:pPr>
      <w:r w:rsidRPr="007B2775">
        <w:t>Road Construction/Maintenance/Rehabilitation</w:t>
      </w:r>
    </w:p>
    <w:p w14:paraId="0DE11DBC" w14:textId="349B1313" w:rsidR="007B2775" w:rsidRPr="00544D8D" w:rsidRDefault="007B2775" w:rsidP="00544D8D">
      <w:pPr>
        <w:pStyle w:val="Heading5"/>
      </w:pPr>
      <w:r w:rsidRPr="007B2775">
        <w:t>Project Planning and Management</w:t>
      </w:r>
    </w:p>
    <w:p w14:paraId="45C1E00A" w14:textId="61B8A233" w:rsidR="007B2775" w:rsidRPr="00544D8D" w:rsidRDefault="007B2775" w:rsidP="00544D8D">
      <w:pPr>
        <w:pStyle w:val="Heading5"/>
      </w:pPr>
      <w:r w:rsidRPr="007B2775">
        <w:t>Risk Assessments and Projection Planning</w:t>
      </w:r>
    </w:p>
    <w:p w14:paraId="1A437030" w14:textId="0350824B" w:rsidR="007B2775" w:rsidRPr="00544D8D" w:rsidRDefault="007B2775" w:rsidP="00544D8D">
      <w:pPr>
        <w:pStyle w:val="Heading5"/>
      </w:pPr>
      <w:r w:rsidRPr="007B2775">
        <w:t>Targeted Grazing</w:t>
      </w:r>
    </w:p>
    <w:p w14:paraId="61D59949" w14:textId="2E825778" w:rsidR="007B2775" w:rsidRPr="00544D8D" w:rsidRDefault="007B2775" w:rsidP="00544D8D">
      <w:pPr>
        <w:pStyle w:val="Heading5"/>
      </w:pPr>
      <w:r w:rsidRPr="007B2775">
        <w:t xml:space="preserve">Application </w:t>
      </w:r>
    </w:p>
    <w:p w14:paraId="5A666A39" w14:textId="77777777" w:rsidR="007B2775" w:rsidRPr="007B2775" w:rsidRDefault="007B2775" w:rsidP="00097FDB">
      <w:pPr>
        <w:pStyle w:val="Heading5"/>
      </w:pPr>
      <w:r w:rsidRPr="007B2775">
        <w:t>Survey, Monitoring, Permitting, and Mitigation for Natural and Cultural Resources</w:t>
      </w:r>
    </w:p>
    <w:p w14:paraId="2605EB58" w14:textId="77777777" w:rsidR="007B2775" w:rsidRPr="007B2775" w:rsidRDefault="007B2775" w:rsidP="007B2775">
      <w:pPr>
        <w:widowControl/>
        <w:contextualSpacing w:val="0"/>
        <w:jc w:val="left"/>
        <w:rPr>
          <w:rFonts w:eastAsia="Times New Roman"/>
          <w:sz w:val="24"/>
          <w:szCs w:val="24"/>
        </w:rPr>
      </w:pPr>
    </w:p>
    <w:p w14:paraId="4C225241" w14:textId="7F4EF9F8" w:rsidR="007B2775" w:rsidRDefault="007B2775" w:rsidP="00104F72">
      <w:pPr>
        <w:pStyle w:val="Heading4"/>
      </w:pPr>
      <w:r w:rsidRPr="007B2775">
        <w:t>Each service will be evaluated separately by the Evaluation Committee.  The vendor must clearly identify in</w:t>
      </w:r>
      <w:r w:rsidR="00097FDB">
        <w:t xml:space="preserve"> the</w:t>
      </w:r>
      <w:r w:rsidRPr="007B2775">
        <w:t xml:space="preserve"> </w:t>
      </w:r>
      <w:r w:rsidRPr="007B2775">
        <w:rPr>
          <w:b/>
          <w:i/>
        </w:rPr>
        <w:t>Fire Fuels Reduction and Vegetation Management Services</w:t>
      </w:r>
      <w:r w:rsidR="00097FDB">
        <w:rPr>
          <w:b/>
          <w:i/>
        </w:rPr>
        <w:t xml:space="preserve"> for Ground Only</w:t>
      </w:r>
      <w:r w:rsidRPr="007B2775">
        <w:rPr>
          <w:b/>
          <w:i/>
        </w:rPr>
        <w:t>,</w:t>
      </w:r>
      <w:r w:rsidRPr="007B2775">
        <w:t xml:space="preserve"> the service(s) that they would like to be considered for. The Evaluation Committee members will review each service independently of the others and determine if the Vendor meets the criteria of this RFQ. </w:t>
      </w:r>
    </w:p>
    <w:p w14:paraId="7A0A6BEA" w14:textId="77777777" w:rsidR="00D07375" w:rsidRPr="00D07375" w:rsidRDefault="00D07375" w:rsidP="00D07375"/>
    <w:p w14:paraId="331B1F7E" w14:textId="77777777" w:rsidR="00D07375" w:rsidRPr="00D07375" w:rsidRDefault="00D07375" w:rsidP="00D07375">
      <w:pPr>
        <w:pStyle w:val="Heading1"/>
      </w:pPr>
      <w:bookmarkStart w:id="6" w:name="_Toc180917193"/>
      <w:bookmarkStart w:id="7" w:name="_Toc99966363"/>
      <w:bookmarkStart w:id="8" w:name="_Toc156979861"/>
      <w:r w:rsidRPr="00D07375">
        <w:t>REQUEST FOR QUALIFICATIONS</w:t>
      </w:r>
      <w:bookmarkEnd w:id="6"/>
      <w:bookmarkEnd w:id="7"/>
      <w:bookmarkEnd w:id="8"/>
    </w:p>
    <w:p w14:paraId="32940103" w14:textId="77777777" w:rsidR="00D07375" w:rsidRPr="00D07375" w:rsidRDefault="00D07375" w:rsidP="00D07375">
      <w:pPr>
        <w:widowControl/>
        <w:contextualSpacing w:val="0"/>
        <w:jc w:val="left"/>
        <w:rPr>
          <w:rFonts w:eastAsia="Times New Roman"/>
          <w:sz w:val="24"/>
          <w:szCs w:val="24"/>
        </w:rPr>
      </w:pPr>
    </w:p>
    <w:p w14:paraId="72F79A91" w14:textId="77777777" w:rsidR="00D07375" w:rsidRPr="00D07375" w:rsidRDefault="00D07375" w:rsidP="0087131B">
      <w:pPr>
        <w:pStyle w:val="Heading2"/>
      </w:pPr>
      <w:r w:rsidRPr="00D07375">
        <w:t>RFQ PROCESS</w:t>
      </w:r>
    </w:p>
    <w:p w14:paraId="1FF19BA6" w14:textId="77777777" w:rsidR="00D07375" w:rsidRPr="00D07375" w:rsidRDefault="00D07375" w:rsidP="00D07375">
      <w:pPr>
        <w:widowControl/>
        <w:contextualSpacing w:val="0"/>
        <w:jc w:val="left"/>
        <w:rPr>
          <w:rFonts w:eastAsia="Times New Roman"/>
          <w:sz w:val="24"/>
          <w:szCs w:val="24"/>
        </w:rPr>
      </w:pPr>
    </w:p>
    <w:p w14:paraId="12ECE33C" w14:textId="77777777" w:rsidR="00D07375" w:rsidRPr="00D07375" w:rsidRDefault="00D07375" w:rsidP="00D07375">
      <w:pPr>
        <w:widowControl/>
        <w:ind w:left="720"/>
        <w:contextualSpacing w:val="0"/>
        <w:rPr>
          <w:rFonts w:eastAsia="Times New Roman"/>
        </w:rPr>
      </w:pPr>
      <w:r w:rsidRPr="00D07375">
        <w:rPr>
          <w:rFonts w:eastAsia="Times New Roman"/>
        </w:rPr>
        <w:t>The process by which RFQ Responses shall be considered for award under this RFQ consists of two (2) distinct stages.</w:t>
      </w:r>
    </w:p>
    <w:p w14:paraId="24D6238E" w14:textId="77777777" w:rsidR="00D07375" w:rsidRPr="00D07375" w:rsidRDefault="00D07375" w:rsidP="00D07375">
      <w:pPr>
        <w:widowControl/>
        <w:contextualSpacing w:val="0"/>
        <w:jc w:val="left"/>
        <w:rPr>
          <w:rFonts w:eastAsia="Times New Roman"/>
          <w:sz w:val="24"/>
          <w:szCs w:val="24"/>
        </w:rPr>
      </w:pPr>
    </w:p>
    <w:p w14:paraId="461EBF40" w14:textId="77777777" w:rsidR="00D07375" w:rsidRPr="00D07375" w:rsidRDefault="00D07375" w:rsidP="00D07375">
      <w:pPr>
        <w:pStyle w:val="Heading3"/>
      </w:pPr>
      <w:r w:rsidRPr="00D07375">
        <w:t>First Stage</w:t>
      </w:r>
    </w:p>
    <w:p w14:paraId="249BCABA" w14:textId="77777777" w:rsidR="00D07375" w:rsidRPr="00D07375" w:rsidRDefault="00D07375" w:rsidP="00D07375">
      <w:pPr>
        <w:widowControl/>
        <w:contextualSpacing w:val="0"/>
        <w:jc w:val="left"/>
        <w:rPr>
          <w:rFonts w:eastAsia="Times New Roman"/>
          <w:sz w:val="24"/>
          <w:szCs w:val="24"/>
        </w:rPr>
      </w:pPr>
    </w:p>
    <w:p w14:paraId="07BCF832" w14:textId="0FEEA092" w:rsidR="00D07375" w:rsidRPr="00D07375" w:rsidRDefault="00D07375" w:rsidP="00D07375">
      <w:pPr>
        <w:widowControl/>
        <w:ind w:left="720"/>
        <w:contextualSpacing w:val="0"/>
        <w:rPr>
          <w:rFonts w:eastAsia="Times New Roman"/>
        </w:rPr>
      </w:pPr>
      <w:r w:rsidRPr="00D07375">
        <w:rPr>
          <w:rFonts w:eastAsia="Times New Roman"/>
        </w:rPr>
        <w:t>The first stage is a determination of whether the vendor qualifies under the set of General Minimum Qualifications</w:t>
      </w:r>
      <w:r w:rsidR="001B7BD2">
        <w:rPr>
          <w:rFonts w:eastAsia="Times New Roman"/>
        </w:rPr>
        <w:t>.</w:t>
      </w:r>
      <w:r w:rsidRPr="00D07375">
        <w:rPr>
          <w:rFonts w:eastAsia="Times New Roman"/>
        </w:rPr>
        <w:t xml:space="preserve"> If a vendor is determined to not meet any one of the General Minimum Qualifications, the RFQ response in its entirety shall not be considered for award.</w:t>
      </w:r>
    </w:p>
    <w:p w14:paraId="778A5999" w14:textId="77777777" w:rsidR="00D07375" w:rsidRPr="00D07375" w:rsidRDefault="00D07375" w:rsidP="00D07375">
      <w:pPr>
        <w:widowControl/>
        <w:contextualSpacing w:val="0"/>
        <w:jc w:val="left"/>
        <w:rPr>
          <w:rFonts w:eastAsia="Times New Roman"/>
          <w:sz w:val="24"/>
          <w:szCs w:val="24"/>
        </w:rPr>
      </w:pPr>
    </w:p>
    <w:p w14:paraId="119C2EB5" w14:textId="77777777" w:rsidR="00D07375" w:rsidRPr="00D07375" w:rsidRDefault="00D07375" w:rsidP="00D07375">
      <w:pPr>
        <w:pStyle w:val="Heading3"/>
      </w:pPr>
      <w:r w:rsidRPr="00D07375">
        <w:t>Second Stage</w:t>
      </w:r>
    </w:p>
    <w:p w14:paraId="2FB88D6D" w14:textId="77777777" w:rsidR="00D07375" w:rsidRPr="00D07375" w:rsidRDefault="00D07375" w:rsidP="00D07375">
      <w:pPr>
        <w:widowControl/>
        <w:contextualSpacing w:val="0"/>
        <w:jc w:val="left"/>
        <w:rPr>
          <w:rFonts w:eastAsia="Times New Roman"/>
          <w:sz w:val="24"/>
          <w:szCs w:val="24"/>
        </w:rPr>
      </w:pPr>
    </w:p>
    <w:p w14:paraId="34750514" w14:textId="55A350CE" w:rsidR="00D07375" w:rsidRPr="00165267" w:rsidRDefault="00D07375" w:rsidP="00165267">
      <w:pPr>
        <w:widowControl/>
        <w:ind w:left="720"/>
        <w:contextualSpacing w:val="0"/>
        <w:rPr>
          <w:rFonts w:eastAsia="Times New Roman"/>
        </w:rPr>
      </w:pPr>
      <w:r w:rsidRPr="00D07375">
        <w:rPr>
          <w:rFonts w:eastAsia="Times New Roman"/>
        </w:rPr>
        <w:t>If the vendor meets all the General and Technical Minimum Qualifications, and is awarded a contract under this RFQ, Vendors will be required to follow the guidelines regarding the bidding process.</w:t>
      </w:r>
    </w:p>
    <w:p w14:paraId="49537333" w14:textId="77777777" w:rsidR="00D07375" w:rsidRPr="00D07375" w:rsidRDefault="00D07375" w:rsidP="00D07375">
      <w:pPr>
        <w:widowControl/>
        <w:contextualSpacing w:val="0"/>
        <w:jc w:val="left"/>
        <w:rPr>
          <w:rFonts w:eastAsia="Times New Roman"/>
          <w:sz w:val="24"/>
          <w:szCs w:val="24"/>
        </w:rPr>
      </w:pPr>
    </w:p>
    <w:p w14:paraId="08508D1C" w14:textId="77777777" w:rsidR="00D07375" w:rsidRPr="00D07375" w:rsidRDefault="00D07375" w:rsidP="0087131B">
      <w:pPr>
        <w:pStyle w:val="Heading2"/>
      </w:pPr>
      <w:r w:rsidRPr="00D07375">
        <w:t>GENERAL MINIMUM QUALIFICATIONS</w:t>
      </w:r>
    </w:p>
    <w:p w14:paraId="15423188" w14:textId="77777777" w:rsidR="00D07375" w:rsidRPr="00D07375" w:rsidRDefault="00D07375" w:rsidP="00D07375">
      <w:pPr>
        <w:widowControl/>
        <w:contextualSpacing w:val="0"/>
        <w:jc w:val="left"/>
        <w:rPr>
          <w:rFonts w:eastAsia="Times New Roman"/>
          <w:sz w:val="24"/>
          <w:szCs w:val="24"/>
        </w:rPr>
      </w:pPr>
    </w:p>
    <w:p w14:paraId="008967A9" w14:textId="38AA2713" w:rsidR="00D07375" w:rsidRPr="00D07375" w:rsidRDefault="00D07375" w:rsidP="004A4AAB">
      <w:pPr>
        <w:widowControl/>
        <w:ind w:left="720"/>
        <w:contextualSpacing w:val="0"/>
        <w:rPr>
          <w:rFonts w:eastAsia="Times New Roman"/>
          <w:sz w:val="24"/>
          <w:szCs w:val="24"/>
        </w:rPr>
      </w:pPr>
      <w:r w:rsidRPr="00D07375">
        <w:rPr>
          <w:rFonts w:eastAsia="Times New Roman"/>
        </w:rPr>
        <w:t>It is mandatory that each component listed below in the Minimum Qualifications be addressed.  Failure to address each component will result in disqualification of the RFQ response. Vendors proposing to receive an award through this RFQ must provide a detailed description of their SOQ, which must include, at a minimum, the following information</w:t>
      </w:r>
      <w:r w:rsidRPr="00D07375">
        <w:rPr>
          <w:rFonts w:eastAsia="Times New Roman"/>
          <w:sz w:val="24"/>
          <w:szCs w:val="24"/>
        </w:rPr>
        <w:t>.</w:t>
      </w:r>
    </w:p>
    <w:p w14:paraId="53B81F35" w14:textId="3D5B5188" w:rsidR="00D07375" w:rsidRPr="004A4AAB" w:rsidRDefault="00D07375" w:rsidP="004A4AAB">
      <w:pPr>
        <w:pStyle w:val="Heading3"/>
      </w:pPr>
      <w:r w:rsidRPr="00D07375">
        <w:t>Vendors will be required to have appropriate license(s) and insurance to qualify for all work in this RFQ. Copy of appropriate license(s) must be submitted with proposal; and</w:t>
      </w:r>
    </w:p>
    <w:p w14:paraId="5992249C" w14:textId="44948489" w:rsidR="00D07375" w:rsidRPr="00D07375" w:rsidRDefault="00D07375" w:rsidP="00D07375">
      <w:pPr>
        <w:pStyle w:val="Heading3"/>
      </w:pPr>
      <w:r w:rsidRPr="00D07375">
        <w:t>Vendors may also be required to provide a Performance Security in the form of a Surety Bond, Certificate of Deposit or Treasury Note.  This requirement will be on a project-by-project basis and will be in an amount up to 100% of the project total.</w:t>
      </w:r>
    </w:p>
    <w:p w14:paraId="5693497D" w14:textId="77777777" w:rsidR="00D07375" w:rsidRPr="00D07375" w:rsidRDefault="00D07375" w:rsidP="00D07375">
      <w:pPr>
        <w:widowControl/>
        <w:contextualSpacing w:val="0"/>
        <w:jc w:val="left"/>
        <w:rPr>
          <w:rFonts w:eastAsia="Times New Roman"/>
          <w:sz w:val="24"/>
          <w:szCs w:val="24"/>
        </w:rPr>
      </w:pPr>
    </w:p>
    <w:p w14:paraId="6B7731ED" w14:textId="77777777" w:rsidR="00D07375" w:rsidRPr="00D07375" w:rsidRDefault="00D07375" w:rsidP="0087131B">
      <w:pPr>
        <w:pStyle w:val="Heading2"/>
      </w:pPr>
      <w:r w:rsidRPr="00D07375">
        <w:t>TECHNICAL MINIMUM QUALIFICATIONS</w:t>
      </w:r>
    </w:p>
    <w:p w14:paraId="56C3320E" w14:textId="77777777" w:rsidR="00D07375" w:rsidRPr="00D07375" w:rsidRDefault="00D07375" w:rsidP="00D07375">
      <w:pPr>
        <w:widowControl/>
        <w:contextualSpacing w:val="0"/>
        <w:jc w:val="left"/>
        <w:rPr>
          <w:rFonts w:eastAsia="Times New Roman"/>
          <w:sz w:val="24"/>
          <w:szCs w:val="24"/>
        </w:rPr>
      </w:pPr>
    </w:p>
    <w:p w14:paraId="19641EBA" w14:textId="77777777" w:rsidR="00D07375" w:rsidRPr="00D07375" w:rsidRDefault="00D07375" w:rsidP="007F6E1F">
      <w:pPr>
        <w:widowControl/>
        <w:ind w:left="720"/>
        <w:contextualSpacing w:val="0"/>
        <w:rPr>
          <w:rFonts w:eastAsia="Times New Roman"/>
        </w:rPr>
      </w:pPr>
      <w:r w:rsidRPr="00D07375">
        <w:rPr>
          <w:rFonts w:eastAsia="Times New Roman"/>
        </w:rPr>
        <w:t xml:space="preserve">It is </w:t>
      </w:r>
      <w:r w:rsidRPr="00D07375">
        <w:rPr>
          <w:rFonts w:eastAsia="Times New Roman"/>
          <w:b/>
          <w:i/>
        </w:rPr>
        <w:t>mandatory</w:t>
      </w:r>
      <w:r w:rsidRPr="00D07375">
        <w:rPr>
          <w:rFonts w:eastAsia="Times New Roman"/>
        </w:rPr>
        <w:t xml:space="preserve"> that each component listed below in the Technical Minimum Qualifications be addressed.  Failure to address each component shall result in disqualification of the RFQ response.</w:t>
      </w:r>
    </w:p>
    <w:p w14:paraId="30FB7EAB" w14:textId="77777777" w:rsidR="00D07375" w:rsidRPr="00D07375" w:rsidRDefault="00D07375" w:rsidP="00D07375">
      <w:pPr>
        <w:widowControl/>
        <w:contextualSpacing w:val="0"/>
        <w:jc w:val="left"/>
        <w:rPr>
          <w:rFonts w:eastAsia="Times New Roman"/>
        </w:rPr>
      </w:pPr>
    </w:p>
    <w:p w14:paraId="3B372955" w14:textId="77777777" w:rsidR="00D07375" w:rsidRPr="00D07375" w:rsidRDefault="00D07375" w:rsidP="007F6E1F">
      <w:pPr>
        <w:widowControl/>
        <w:ind w:left="720"/>
        <w:contextualSpacing w:val="0"/>
        <w:rPr>
          <w:rFonts w:eastAsia="Times New Roman"/>
        </w:rPr>
      </w:pPr>
      <w:r w:rsidRPr="00D07375">
        <w:rPr>
          <w:rFonts w:eastAsia="Times New Roman"/>
        </w:rPr>
        <w:t>Vendors proposing to receive an award through this RFQ shall provide a detailed description of their SOQ, which shall include, at a minimum, the following information.</w:t>
      </w:r>
    </w:p>
    <w:p w14:paraId="4E397918" w14:textId="77777777" w:rsidR="00D07375" w:rsidRPr="00D07375" w:rsidRDefault="00D07375" w:rsidP="00D07375">
      <w:pPr>
        <w:widowControl/>
        <w:ind w:left="1440"/>
        <w:contextualSpacing w:val="0"/>
        <w:rPr>
          <w:rFonts w:eastAsia="Times New Roman"/>
          <w:sz w:val="24"/>
          <w:szCs w:val="24"/>
        </w:rPr>
      </w:pPr>
    </w:p>
    <w:p w14:paraId="0DE7780C" w14:textId="77777777" w:rsidR="00D07375" w:rsidRPr="00D07375" w:rsidRDefault="00D07375" w:rsidP="007F6E1F">
      <w:pPr>
        <w:pStyle w:val="Heading3"/>
      </w:pPr>
      <w:r w:rsidRPr="00D07375">
        <w:t xml:space="preserve">Vendors will be required to have appropriate license(s) and insurance to qualify for all work in this RFQ. Copy of </w:t>
      </w:r>
      <w:r w:rsidRPr="00D07375">
        <w:lastRenderedPageBreak/>
        <w:t>appropriate license(s) must be submitted with proposal; and</w:t>
      </w:r>
    </w:p>
    <w:p w14:paraId="03F50E2C" w14:textId="77777777" w:rsidR="00D07375" w:rsidRPr="00D07375" w:rsidRDefault="00D07375" w:rsidP="00D11407"/>
    <w:p w14:paraId="6883789F" w14:textId="5F4A84F1" w:rsidR="00D07375" w:rsidRPr="008F0FA5" w:rsidRDefault="00D07375" w:rsidP="008F0FA5">
      <w:pPr>
        <w:pStyle w:val="Heading3"/>
      </w:pPr>
      <w:r w:rsidRPr="00D07375">
        <w:t xml:space="preserve">Vendors may also be required to provide a Performance Security in the form of a Surety Bond, Certificate of Deposit or Treasury Note.  This requirement will be on a </w:t>
      </w:r>
      <w:r w:rsidR="007F6E1F" w:rsidRPr="00D07375">
        <w:t>project-by-project</w:t>
      </w:r>
      <w:r w:rsidRPr="00D07375">
        <w:t xml:space="preserve"> basis and will be in an amount up to 100% of the project total.</w:t>
      </w:r>
    </w:p>
    <w:p w14:paraId="16B757D0" w14:textId="77777777" w:rsidR="00D07375" w:rsidRPr="00D07375" w:rsidRDefault="00D07375" w:rsidP="00D07375">
      <w:pPr>
        <w:widowControl/>
        <w:contextualSpacing w:val="0"/>
        <w:jc w:val="left"/>
        <w:rPr>
          <w:rFonts w:eastAsia="Times New Roman"/>
          <w:sz w:val="24"/>
          <w:szCs w:val="24"/>
        </w:rPr>
      </w:pPr>
    </w:p>
    <w:p w14:paraId="12B07732" w14:textId="77777777" w:rsidR="00D07375" w:rsidRPr="00D07375" w:rsidRDefault="00D07375" w:rsidP="0087131B">
      <w:pPr>
        <w:pStyle w:val="Heading2"/>
      </w:pPr>
      <w:r w:rsidRPr="00D07375">
        <w:t xml:space="preserve">BIDDING PROCESS </w:t>
      </w:r>
    </w:p>
    <w:p w14:paraId="16D96839" w14:textId="77777777" w:rsidR="00D07375" w:rsidRPr="00D07375" w:rsidRDefault="00D07375" w:rsidP="00D07375">
      <w:pPr>
        <w:widowControl/>
        <w:contextualSpacing w:val="0"/>
        <w:jc w:val="left"/>
        <w:rPr>
          <w:rFonts w:eastAsia="Times New Roman"/>
          <w:sz w:val="24"/>
          <w:szCs w:val="24"/>
        </w:rPr>
      </w:pPr>
    </w:p>
    <w:p w14:paraId="2D8008E2" w14:textId="4E119920" w:rsidR="00D07375" w:rsidRPr="00D07375" w:rsidRDefault="00D07375" w:rsidP="00596F85">
      <w:pPr>
        <w:widowControl/>
        <w:numPr>
          <w:ilvl w:val="12"/>
          <w:numId w:val="0"/>
        </w:numPr>
        <w:ind w:left="720"/>
        <w:contextualSpacing w:val="0"/>
        <w:rPr>
          <w:rFonts w:eastAsia="Times New Roman"/>
          <w:b/>
          <w:bCs/>
          <w:i/>
          <w:iCs/>
        </w:rPr>
      </w:pPr>
      <w:r w:rsidRPr="00D07375">
        <w:rPr>
          <w:rFonts w:eastAsia="Times New Roman"/>
        </w:rPr>
        <w:t xml:space="preserve">Using Agencies will utilize a bidding system on an as needed basis for each project, and the awarded vendors will be notified based on the project’s needs.  </w:t>
      </w:r>
      <w:r w:rsidRPr="00D07375">
        <w:rPr>
          <w:rFonts w:eastAsia="Times New Roman"/>
          <w:b/>
          <w:i/>
        </w:rPr>
        <w:t>The RFQ does not hold awarded vendors to any prices, nor does it obligate the State to</w:t>
      </w:r>
      <w:r w:rsidRPr="00D07375">
        <w:rPr>
          <w:rFonts w:eastAsia="Times New Roman"/>
        </w:rPr>
        <w:t xml:space="preserve"> </w:t>
      </w:r>
      <w:r w:rsidRPr="00D07375">
        <w:rPr>
          <w:rFonts w:eastAsia="Times New Roman"/>
          <w:b/>
          <w:i/>
        </w:rPr>
        <w:t>purchase goods or services from all awarded vendors</w:t>
      </w:r>
      <w:r w:rsidRPr="00D07375">
        <w:rPr>
          <w:rFonts w:eastAsia="Times New Roman"/>
        </w:rPr>
        <w:t xml:space="preserve">.  The purchase amount will be controlled by the individual using agencies through a purchase order submitted to and accepted by the vendor once an individual project has been </w:t>
      </w:r>
      <w:r w:rsidR="00596F85" w:rsidRPr="00596F85">
        <w:rPr>
          <w:rFonts w:eastAsia="Times New Roman"/>
        </w:rPr>
        <w:t>bid on</w:t>
      </w:r>
      <w:r w:rsidRPr="00D07375">
        <w:rPr>
          <w:rFonts w:eastAsia="Times New Roman"/>
        </w:rPr>
        <w:t xml:space="preserve"> and awarded. </w:t>
      </w:r>
      <w:r w:rsidRPr="00D07375">
        <w:rPr>
          <w:rFonts w:eastAsia="Times New Roman"/>
          <w:b/>
          <w:bCs/>
          <w:i/>
          <w:iCs/>
        </w:rPr>
        <w:t>Refer to– Service Agreement Template and Mini-Bid Process.</w:t>
      </w:r>
    </w:p>
    <w:p w14:paraId="23E18618" w14:textId="77777777" w:rsidR="00D07375" w:rsidRPr="00D07375" w:rsidRDefault="00D07375" w:rsidP="00D07375">
      <w:pPr>
        <w:widowControl/>
        <w:contextualSpacing w:val="0"/>
        <w:jc w:val="left"/>
        <w:rPr>
          <w:rFonts w:eastAsia="Times New Roman"/>
          <w:sz w:val="24"/>
          <w:szCs w:val="24"/>
        </w:rPr>
      </w:pPr>
    </w:p>
    <w:p w14:paraId="1DE1FED8" w14:textId="0CB119F1" w:rsidR="00D07375" w:rsidRPr="00D07375" w:rsidRDefault="00D07375" w:rsidP="0087131B">
      <w:pPr>
        <w:pStyle w:val="Heading2"/>
      </w:pPr>
      <w:r w:rsidRPr="00D07375">
        <w:t xml:space="preserve">PROJECT MEETINGS FOR FIRE FUEL REDUCTION AND VEGETATION MANAGEMENT </w:t>
      </w:r>
      <w:r w:rsidR="0033040F" w:rsidRPr="00D07375">
        <w:t>SERVICES.</w:t>
      </w:r>
    </w:p>
    <w:p w14:paraId="01FA59D2" w14:textId="77777777" w:rsidR="00D07375" w:rsidRPr="00D07375" w:rsidRDefault="00D07375" w:rsidP="00D07375">
      <w:pPr>
        <w:widowControl/>
        <w:contextualSpacing w:val="0"/>
        <w:jc w:val="left"/>
        <w:rPr>
          <w:rFonts w:eastAsia="Times New Roman"/>
        </w:rPr>
      </w:pPr>
    </w:p>
    <w:p w14:paraId="7C548D59" w14:textId="77777777" w:rsidR="00D07375" w:rsidRPr="00D07375" w:rsidRDefault="00D07375" w:rsidP="0033040F">
      <w:pPr>
        <w:pStyle w:val="Heading3"/>
      </w:pPr>
      <w:r w:rsidRPr="00D07375">
        <w:t>Pre-Work Conference:</w:t>
      </w:r>
    </w:p>
    <w:p w14:paraId="52BF9B26" w14:textId="77777777" w:rsidR="00D07375" w:rsidRPr="00D07375" w:rsidRDefault="00D07375" w:rsidP="00D07375">
      <w:pPr>
        <w:widowControl/>
        <w:contextualSpacing w:val="0"/>
        <w:jc w:val="left"/>
        <w:rPr>
          <w:rFonts w:eastAsia="Times New Roman"/>
        </w:rPr>
      </w:pPr>
    </w:p>
    <w:p w14:paraId="4782D9A9" w14:textId="61997ED5" w:rsidR="00D07375" w:rsidRPr="00C76F87" w:rsidRDefault="00D07375" w:rsidP="00C76F87">
      <w:pPr>
        <w:pStyle w:val="Heading4"/>
      </w:pPr>
      <w:r w:rsidRPr="00D07375">
        <w:t xml:space="preserve">A Pre-Work Conference will be held prior to the start of each project.  The vendor will be notified in advance of </w:t>
      </w:r>
      <w:r w:rsidR="0033040F" w:rsidRPr="00D07375">
        <w:t>the meeting</w:t>
      </w:r>
      <w:r w:rsidRPr="00D07375">
        <w:t xml:space="preserve"> time, </w:t>
      </w:r>
      <w:r w:rsidR="009F0B66" w:rsidRPr="00D07375">
        <w:t>date,</w:t>
      </w:r>
      <w:r w:rsidRPr="00D07375">
        <w:t xml:space="preserve"> and place.  The purpose will be to review required work, project drawings and specifications, construction schedules, payments, and administrative provisions of the </w:t>
      </w:r>
      <w:r w:rsidR="0033040F" w:rsidRPr="00D07375">
        <w:t>contract.</w:t>
      </w:r>
    </w:p>
    <w:p w14:paraId="4A4B8131" w14:textId="3934B452" w:rsidR="00D07375" w:rsidRPr="00C76F87" w:rsidRDefault="00D07375" w:rsidP="00C76F87">
      <w:pPr>
        <w:pStyle w:val="Heading4"/>
      </w:pPr>
      <w:r w:rsidRPr="00D07375">
        <w:t xml:space="preserve">The vendor, </w:t>
      </w:r>
      <w:r w:rsidR="0033040F" w:rsidRPr="00D07375">
        <w:t>subcontractors,</w:t>
      </w:r>
      <w:r w:rsidRPr="00D07375">
        <w:t xml:space="preserve"> and the persons responsible for coordination of the work shall be present at the </w:t>
      </w:r>
      <w:r w:rsidR="00C76F87" w:rsidRPr="00D07375">
        <w:t>meeting; and</w:t>
      </w:r>
      <w:r w:rsidRPr="00C76F87">
        <w:rPr>
          <w:rFonts w:eastAsia="Times New Roman"/>
        </w:rPr>
        <w:t xml:space="preserve">                                             </w:t>
      </w:r>
    </w:p>
    <w:p w14:paraId="4DA812FD" w14:textId="77777777" w:rsidR="00D07375" w:rsidRPr="00D07375" w:rsidRDefault="00D07375" w:rsidP="00104F72">
      <w:pPr>
        <w:pStyle w:val="Heading4"/>
      </w:pPr>
      <w:r w:rsidRPr="00D07375">
        <w:t>The vendor shall be prepared to summarize and explain procedures planned for the project.</w:t>
      </w:r>
    </w:p>
    <w:p w14:paraId="67630081" w14:textId="77777777" w:rsidR="00D91DEB" w:rsidRPr="00B66FFF" w:rsidRDefault="00D91DEB" w:rsidP="00C371BD"/>
    <w:p w14:paraId="1764AA9F" w14:textId="77777777" w:rsidR="00104A2B" w:rsidRPr="00B66FFF" w:rsidRDefault="00104A2B" w:rsidP="00A33A03">
      <w:pPr>
        <w:pStyle w:val="Heading1"/>
      </w:pPr>
      <w:bookmarkStart w:id="9" w:name="_Toc70363822"/>
      <w:bookmarkStart w:id="10" w:name="_Toc70367357"/>
      <w:bookmarkStart w:id="11" w:name="_Toc156979862"/>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87131B">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5D817137" w14:textId="77777777" w:rsidR="00FB0EB4" w:rsidRDefault="00104A2B" w:rsidP="00917638">
      <w:pPr>
        <w:pStyle w:val="Heading3"/>
      </w:pPr>
      <w:r w:rsidRPr="00B66FFF">
        <w:t>Terms and Conditions</w:t>
      </w:r>
      <w:r>
        <w:t xml:space="preserve"> for Services</w:t>
      </w:r>
      <w:r w:rsidR="00FB0EB4" w:rsidRPr="00FB0EB4">
        <w:t xml:space="preserve"> </w:t>
      </w:r>
    </w:p>
    <w:p w14:paraId="3B046B24" w14:textId="1F830194" w:rsidR="00104A2B" w:rsidRDefault="00FB0EB4" w:rsidP="00917638">
      <w:pPr>
        <w:pStyle w:val="Heading3"/>
      </w:pPr>
      <w:r w:rsidRPr="002B29C6">
        <w:t>Cost Schedule –</w:t>
      </w:r>
      <w:r>
        <w:t xml:space="preserve"> NOT needed</w:t>
      </w:r>
      <w:r w:rsidRPr="002B29C6">
        <w:t xml:space="preserve"> </w:t>
      </w:r>
      <w:r w:rsidRPr="00C51708">
        <w:rPr>
          <w:u w:val="single"/>
        </w:rPr>
        <w:t>the purchase amount will be controlled by the individual using agencies based on the project</w:t>
      </w:r>
      <w:r>
        <w:rPr>
          <w:u w:val="single"/>
        </w:rPr>
        <w:t>.</w:t>
      </w:r>
    </w:p>
    <w:p w14:paraId="64A500C1" w14:textId="77777777" w:rsidR="009F518D" w:rsidRDefault="009F518D" w:rsidP="009F518D"/>
    <w:p w14:paraId="06C9698B" w14:textId="7EAA4CAB" w:rsidR="009F518D" w:rsidRDefault="009F518D" w:rsidP="0087131B">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6CA6A4C" w14:textId="137917EB" w:rsidR="00104A2B" w:rsidRPr="00B66FFF" w:rsidRDefault="00104A2B" w:rsidP="00104A2B">
      <w:pPr>
        <w:pStyle w:val="Heading3"/>
      </w:pPr>
      <w:r w:rsidRPr="00B66FFF">
        <w:t>Insurance Schedule</w:t>
      </w:r>
    </w:p>
    <w:p w14:paraId="2E5CD913" w14:textId="77777777" w:rsidR="00104A2B" w:rsidRDefault="00104A2B" w:rsidP="0087131B">
      <w:pPr>
        <w:pStyle w:val="Heading2"/>
      </w:pPr>
      <w:r w:rsidRPr="00E07DDD">
        <w:t>PROPOSAL ATTACHMENTS. To be completed and returned.</w:t>
      </w:r>
    </w:p>
    <w:p w14:paraId="0072FB61" w14:textId="77777777" w:rsidR="00324A9C" w:rsidRPr="00324A9C" w:rsidRDefault="00324A9C" w:rsidP="00324A9C"/>
    <w:p w14:paraId="2E7FD3CE" w14:textId="5FB2BAC0" w:rsidR="00307E07" w:rsidRPr="00627AF3" w:rsidRDefault="00324A9C" w:rsidP="00627AF3">
      <w:pPr>
        <w:pStyle w:val="Heading3"/>
      </w:pPr>
      <w:r>
        <w:t xml:space="preserve">Scopes of Work – Vendor </w:t>
      </w:r>
      <w:r w:rsidR="00FB0EB4">
        <w:t>proposal</w:t>
      </w:r>
      <w:r>
        <w:t xml:space="preserve"> on. </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104F72">
      <w:pPr>
        <w:pStyle w:val="Heading4"/>
      </w:pPr>
      <w:r w:rsidRPr="00B66FFF">
        <w:t>Vendor Information Response</w:t>
      </w:r>
    </w:p>
    <w:p w14:paraId="76AEE63D" w14:textId="77777777" w:rsidR="00C37CD2" w:rsidRPr="00B66FFF" w:rsidRDefault="00C37CD2" w:rsidP="00104F72">
      <w:pPr>
        <w:pStyle w:val="Heading4"/>
      </w:pPr>
      <w:r w:rsidRPr="00B66FFF">
        <w:t>Vendor Certifications</w:t>
      </w:r>
    </w:p>
    <w:p w14:paraId="70E15477" w14:textId="77777777" w:rsidR="00C37CD2" w:rsidRPr="00E42AE4" w:rsidRDefault="00C37CD2" w:rsidP="00104F72">
      <w:pPr>
        <w:pStyle w:val="Heading4"/>
      </w:pPr>
      <w:r w:rsidRPr="00E42AE4">
        <w:t>Certification Regarding Lobbying</w:t>
      </w:r>
    </w:p>
    <w:p w14:paraId="5A2C8F4D" w14:textId="77777777" w:rsidR="00C37CD2" w:rsidRPr="00B66FFF" w:rsidRDefault="00C37CD2" w:rsidP="00104F7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56979863"/>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87131B">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87131B">
      <w:pPr>
        <w:pStyle w:val="Heading2"/>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001C0AA5" w:rsidR="000A5780" w:rsidRPr="009B21A9" w:rsidRDefault="000A5780" w:rsidP="00104F72">
      <w:pPr>
        <w:pStyle w:val="Heading4"/>
      </w:pPr>
      <w:r w:rsidRPr="009B21A9">
        <w:t>Deadline for Questions</w:t>
      </w:r>
      <w:r w:rsidRPr="009B21A9">
        <w:tab/>
        <w:t xml:space="preserve">No later than 5:00 pm on </w:t>
      </w:r>
      <w:r w:rsidR="002F06A0">
        <w:t>0</w:t>
      </w:r>
      <w:r w:rsidR="00AD0C6B">
        <w:t>2</w:t>
      </w:r>
      <w:r w:rsidR="002F06A0">
        <w:t>/</w:t>
      </w:r>
      <w:r w:rsidR="008E0079">
        <w:t>20</w:t>
      </w:r>
      <w:r w:rsidR="002F06A0">
        <w:t>/202</w:t>
      </w:r>
      <w:r w:rsidR="00AD0C6B">
        <w:t>4</w:t>
      </w:r>
    </w:p>
    <w:p w14:paraId="3743F8DD" w14:textId="3B0D3D47" w:rsidR="000A5780" w:rsidRPr="009B21A9" w:rsidRDefault="000A5780" w:rsidP="00104F72">
      <w:pPr>
        <w:pStyle w:val="Heading4"/>
      </w:pPr>
      <w:r w:rsidRPr="009B21A9">
        <w:t>Answers Posted</w:t>
      </w:r>
      <w:r w:rsidRPr="009B21A9">
        <w:tab/>
        <w:t xml:space="preserve">On or about </w:t>
      </w:r>
      <w:r w:rsidR="002F06A0">
        <w:t>0</w:t>
      </w:r>
      <w:r w:rsidR="00AD0C6B">
        <w:t>2</w:t>
      </w:r>
      <w:r w:rsidR="002F06A0">
        <w:t>/</w:t>
      </w:r>
      <w:r w:rsidR="008E0079">
        <w:t>27</w:t>
      </w:r>
      <w:r w:rsidR="002F06A0">
        <w:t>/202</w:t>
      </w:r>
      <w:r w:rsidR="00AD0C6B">
        <w:t>4</w:t>
      </w:r>
    </w:p>
    <w:p w14:paraId="45AEFC31" w14:textId="39A77053" w:rsidR="000A5780" w:rsidRPr="009B21A9" w:rsidRDefault="000A5780" w:rsidP="00104F72">
      <w:pPr>
        <w:pStyle w:val="Heading4"/>
      </w:pPr>
      <w:r w:rsidRPr="009B21A9">
        <w:t>Deadline for References</w:t>
      </w:r>
      <w:r w:rsidRPr="009B21A9">
        <w:tab/>
        <w:t xml:space="preserve">No later than 5:00 pm on </w:t>
      </w:r>
      <w:r w:rsidR="00AD0C6B">
        <w:t>0</w:t>
      </w:r>
      <w:r w:rsidR="008E0079">
        <w:t>3</w:t>
      </w:r>
      <w:r w:rsidR="002F06A0">
        <w:t>/</w:t>
      </w:r>
      <w:r w:rsidR="008E0079">
        <w:t>12</w:t>
      </w:r>
      <w:r w:rsidR="002F06A0">
        <w:t>/202</w:t>
      </w:r>
      <w:r w:rsidR="00AD0C6B">
        <w:t>4</w:t>
      </w:r>
    </w:p>
    <w:p w14:paraId="650DCFB2" w14:textId="527E793A" w:rsidR="000A5780" w:rsidRPr="009B21A9" w:rsidRDefault="000A5780" w:rsidP="00104F72">
      <w:pPr>
        <w:pStyle w:val="Heading4"/>
      </w:pPr>
      <w:r w:rsidRPr="009B21A9">
        <w:t>Deadline Proposal Submission and Opening</w:t>
      </w:r>
      <w:r w:rsidRPr="009B21A9">
        <w:tab/>
        <w:t xml:space="preserve">No later than 2:00 pm on </w:t>
      </w:r>
      <w:r w:rsidR="00AD0C6B">
        <w:t>0</w:t>
      </w:r>
      <w:r w:rsidR="008E0079">
        <w:t>3/13/</w:t>
      </w:r>
      <w:r w:rsidR="00AD0C6B">
        <w:t>2024</w:t>
      </w:r>
    </w:p>
    <w:p w14:paraId="5DE5CF15" w14:textId="3EBD3C38" w:rsidR="000A5780" w:rsidRPr="009B21A9" w:rsidRDefault="000A5780" w:rsidP="00104F72">
      <w:pPr>
        <w:pStyle w:val="Heading4"/>
      </w:pPr>
      <w:r w:rsidRPr="009B21A9">
        <w:t>Evaluation Period (estimated)</w:t>
      </w:r>
      <w:r w:rsidRPr="009B21A9">
        <w:tab/>
      </w:r>
      <w:r w:rsidR="002E02C9">
        <w:t>03/13</w:t>
      </w:r>
      <w:r w:rsidR="00AD0C6B">
        <w:t>/2024</w:t>
      </w:r>
      <w:r w:rsidRPr="009B21A9">
        <w:t xml:space="preserve"> </w:t>
      </w:r>
      <w:r w:rsidR="002F06A0">
        <w:t>–</w:t>
      </w:r>
      <w:r w:rsidRPr="009B21A9">
        <w:t xml:space="preserve"> </w:t>
      </w:r>
      <w:r w:rsidR="00AD0C6B">
        <w:t>03/</w:t>
      </w:r>
      <w:r w:rsidR="002E02C9">
        <w:t>20</w:t>
      </w:r>
      <w:r w:rsidR="00AD0C6B">
        <w:t>/2024</w:t>
      </w:r>
    </w:p>
    <w:p w14:paraId="53E748E8" w14:textId="049AA235" w:rsidR="002519E8" w:rsidRPr="009B21A9" w:rsidRDefault="002519E8" w:rsidP="00104F72">
      <w:pPr>
        <w:pStyle w:val="Heading4"/>
      </w:pPr>
      <w:r>
        <w:t>Notice of Intent</w:t>
      </w:r>
      <w:r w:rsidRPr="009B21A9">
        <w:t xml:space="preserve"> (estimated)</w:t>
      </w:r>
      <w:r w:rsidRPr="009B21A9">
        <w:tab/>
        <w:t xml:space="preserve">On or about </w:t>
      </w:r>
      <w:r w:rsidR="00AD0C6B">
        <w:t>03/</w:t>
      </w:r>
      <w:r w:rsidR="002E02C9">
        <w:t>20</w:t>
      </w:r>
      <w:r w:rsidR="00AD0C6B">
        <w:t>/2024</w:t>
      </w:r>
    </w:p>
    <w:p w14:paraId="249D90AC" w14:textId="218C45A6" w:rsidR="000A5780" w:rsidRPr="009B21A9" w:rsidRDefault="002519E8" w:rsidP="00104F72">
      <w:pPr>
        <w:pStyle w:val="Heading4"/>
      </w:pPr>
      <w:r>
        <w:t>Notice of Award</w:t>
      </w:r>
      <w:r w:rsidR="000A5780" w:rsidRPr="009B21A9">
        <w:t xml:space="preserve"> (estimated)</w:t>
      </w:r>
      <w:r w:rsidR="000A5780" w:rsidRPr="009B21A9">
        <w:tab/>
        <w:t xml:space="preserve">On or about </w:t>
      </w:r>
      <w:r w:rsidR="00AD0C6B">
        <w:t>04/09/2024</w:t>
      </w:r>
    </w:p>
    <w:p w14:paraId="4BC3DD84" w14:textId="48695C6D" w:rsidR="000A5780" w:rsidRPr="009B21A9" w:rsidRDefault="000A5780" w:rsidP="00104F72">
      <w:pPr>
        <w:pStyle w:val="Heading4"/>
      </w:pPr>
      <w:r w:rsidRPr="009B21A9">
        <w:t>BOE Approval (estimated)</w:t>
      </w:r>
      <w:r w:rsidRPr="009B21A9">
        <w:tab/>
      </w:r>
      <w:r w:rsidR="00AD0C6B">
        <w:t>05/14/2024</w:t>
      </w:r>
    </w:p>
    <w:p w14:paraId="48FCB27C" w14:textId="58B5B07C" w:rsidR="00A80662" w:rsidRDefault="000A5780" w:rsidP="00104F72">
      <w:pPr>
        <w:pStyle w:val="Heading4"/>
      </w:pPr>
      <w:r w:rsidRPr="009B21A9">
        <w:t>Contract start date (estimated)</w:t>
      </w:r>
      <w:r w:rsidRPr="009B21A9">
        <w:tab/>
      </w:r>
      <w:r w:rsidR="00AD0C6B">
        <w:t>05/14/2024</w:t>
      </w:r>
    </w:p>
    <w:p w14:paraId="094FF368"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56979864"/>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87131B">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1396C6E8" w:rsidR="00104A2B" w:rsidRPr="001324B9" w:rsidRDefault="00A159C1" w:rsidP="00104F72">
      <w:pPr>
        <w:pStyle w:val="Heading4"/>
      </w:pPr>
      <w:r w:rsidRPr="00A159C1">
        <w:t>Experience in performance of comparable engagement</w:t>
      </w:r>
      <w:r>
        <w:t>s…………………………………………</w:t>
      </w:r>
      <w:r w:rsidR="00190A34">
        <w:t>…. …..</w:t>
      </w:r>
      <w:r>
        <w:t xml:space="preserve"> Pass/Fail</w:t>
      </w:r>
    </w:p>
    <w:p w14:paraId="73BA5567" w14:textId="5B80A56B" w:rsidR="00104A2B" w:rsidRPr="001324B9" w:rsidRDefault="00A159C1" w:rsidP="00104F72">
      <w:pPr>
        <w:pStyle w:val="Heading4"/>
      </w:pPr>
      <w:r w:rsidRPr="00FD648D">
        <w:t>Expertise and availability of key personnel</w:t>
      </w:r>
      <w:r>
        <w:t>…………………………………………………………</w:t>
      </w:r>
      <w:r w:rsidR="00E7065A">
        <w:t>….</w:t>
      </w:r>
      <w:r>
        <w:t>…Pass/Fail</w:t>
      </w:r>
    </w:p>
    <w:p w14:paraId="4E6B54BE" w14:textId="3F703D2E" w:rsidR="00104A2B" w:rsidRPr="001324B9" w:rsidRDefault="00A159C1" w:rsidP="00104F72">
      <w:pPr>
        <w:pStyle w:val="Heading4"/>
      </w:pPr>
      <w:r w:rsidRPr="00FD648D">
        <w:t>Demonstrated Competence</w:t>
      </w:r>
      <w:r w:rsidR="00104A2B" w:rsidRPr="001324B9">
        <w:tab/>
      </w:r>
      <w:r>
        <w:t>………</w:t>
      </w:r>
      <w:r w:rsidR="00190A34">
        <w:t>…</w:t>
      </w:r>
      <w:r>
        <w:t>...Pass/Fail</w:t>
      </w:r>
    </w:p>
    <w:p w14:paraId="069ECE79" w14:textId="4DBC5F69" w:rsidR="00104A2B" w:rsidRPr="001324B9" w:rsidRDefault="00A159C1" w:rsidP="00104F72">
      <w:pPr>
        <w:pStyle w:val="Heading4"/>
      </w:pPr>
      <w:r w:rsidRPr="00FD648D">
        <w:t>Conformance with the terms of this RFQ</w:t>
      </w:r>
      <w:r>
        <w:t>…………………………………………………………</w:t>
      </w:r>
      <w:r w:rsidR="00190A34">
        <w:t>…. …..</w:t>
      </w:r>
      <w:r>
        <w:t xml:space="preserve"> Pass/Fail</w:t>
      </w:r>
    </w:p>
    <w:p w14:paraId="1AA15499" w14:textId="77777777" w:rsidR="00A159C1" w:rsidRDefault="00A159C1" w:rsidP="00D11407"/>
    <w:p w14:paraId="43A68287" w14:textId="50592FB8" w:rsidR="00104A2B" w:rsidRDefault="00A159C1" w:rsidP="00917638">
      <w:pPr>
        <w:pStyle w:val="Heading3"/>
      </w:pPr>
      <w:r>
        <w:t xml:space="preserve">Cost: </w:t>
      </w:r>
      <w:r w:rsidRPr="00282102">
        <w:rPr>
          <w:b/>
        </w:rPr>
        <w:t xml:space="preserve">Cost will be provided on an as needed basis, based on the </w:t>
      </w:r>
      <w:r>
        <w:rPr>
          <w:b/>
        </w:rPr>
        <w:t>scope of work.</w:t>
      </w:r>
    </w:p>
    <w:p w14:paraId="5F8F3743" w14:textId="77777777" w:rsidR="00104A2B" w:rsidRPr="0017635B" w:rsidRDefault="00104A2B" w:rsidP="00104A2B"/>
    <w:p w14:paraId="2656B943" w14:textId="2FA70E89" w:rsidR="009F518D" w:rsidRDefault="00B37D22" w:rsidP="0087131B">
      <w:pPr>
        <w:pStyle w:val="Heading2"/>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65BB26A" w:rsidR="00B37D22" w:rsidRDefault="00B37D22" w:rsidP="00B37D22">
      <w:pPr>
        <w:pStyle w:val="Heading3"/>
        <w:ind w:right="54"/>
      </w:pPr>
      <w:r>
        <w:t xml:space="preserve">Vendors who meet this criterion must </w:t>
      </w:r>
      <w:r w:rsidR="00C028A5">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AB748E" w:rsidRDefault="00C0347B" w:rsidP="00A33A03">
      <w:pPr>
        <w:pStyle w:val="Heading1"/>
        <w:rPr>
          <w:b w:val="0"/>
          <w:bCs w:val="0"/>
        </w:rPr>
      </w:pPr>
      <w:bookmarkStart w:id="26" w:name="_Toc156979865"/>
      <w:r w:rsidRPr="00AB748E">
        <w:rPr>
          <w:b w:val="0"/>
          <w:bCs w:val="0"/>
        </w:rPr>
        <w:t xml:space="preserve">MANDATORY </w:t>
      </w:r>
      <w:r w:rsidR="00CF52F6" w:rsidRPr="00AB748E">
        <w:rPr>
          <w:b w:val="0"/>
          <w:bCs w:val="0"/>
        </w:rPr>
        <w:t>MINIMUM REQUIREMENTS</w:t>
      </w:r>
      <w:bookmarkEnd w:id="19"/>
      <w:bookmarkEnd w:id="20"/>
      <w:bookmarkEnd w:id="26"/>
    </w:p>
    <w:p w14:paraId="5F50D9BF" w14:textId="3BBE67A1" w:rsidR="00C0347B" w:rsidRPr="00AB748E" w:rsidRDefault="00C0347B" w:rsidP="00C371BD"/>
    <w:p w14:paraId="5F4D5F5F" w14:textId="42D8DB1F" w:rsidR="00C25667" w:rsidRPr="00AB748E" w:rsidRDefault="007133E8" w:rsidP="00C371BD">
      <w:pPr>
        <w:pStyle w:val="Heading2"/>
      </w:pPr>
      <w:r w:rsidRPr="00AB748E">
        <w:t>Pursuant to NRS 333.3</w:t>
      </w:r>
      <w:r w:rsidR="00E91F29" w:rsidRPr="00AB748E">
        <w:t>1</w:t>
      </w:r>
      <w:r w:rsidRPr="00AB748E">
        <w:t xml:space="preserve">1 a </w:t>
      </w:r>
      <w:r w:rsidR="00C028A5" w:rsidRPr="00AB748E">
        <w:t>contract</w:t>
      </w:r>
      <w:r w:rsidRPr="00AB748E">
        <w:t xml:space="preserve"> cannot be awarded to a </w:t>
      </w:r>
      <w:r w:rsidR="009033CE" w:rsidRPr="00AB748E">
        <w:t>proposal that</w:t>
      </w:r>
      <w:r w:rsidRPr="00AB748E">
        <w:t xml:space="preserve"> does not comply with the requirements listed in this section.</w:t>
      </w:r>
      <w:r w:rsidR="001658B9" w:rsidRPr="00AB748E">
        <w:t xml:space="preserve"> </w:t>
      </w:r>
      <w:r w:rsidR="00C028A5" w:rsidRPr="00AB748E">
        <w:t>The proposal</w:t>
      </w:r>
      <w:r w:rsidR="001658B9" w:rsidRPr="00AB748E">
        <w:t xml:space="preserve"> shall include confirmation of compliance with all mandatory minimum requirements.</w:t>
      </w:r>
    </w:p>
    <w:p w14:paraId="394C3FBB" w14:textId="07EEEA84" w:rsidR="00323303" w:rsidRPr="00AB748E" w:rsidRDefault="006245FC" w:rsidP="00323303">
      <w:pPr>
        <w:pStyle w:val="Heading2"/>
      </w:pPr>
      <w:r w:rsidRPr="00AB748E">
        <w:t xml:space="preserve">NEVADA LAW AND STATE INDEMNITY. </w:t>
      </w:r>
      <w:r w:rsidR="00323303" w:rsidRPr="00AB748E">
        <w:t xml:space="preserve">Pursuant to </w:t>
      </w:r>
      <w:r w:rsidR="00C058D2" w:rsidRPr="00AB748E">
        <w:t>NRS 333.339</w:t>
      </w:r>
      <w:r w:rsidR="00323303" w:rsidRPr="00AB748E">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2CE2C8D6" w14:textId="03115FF8" w:rsidR="00323303" w:rsidRPr="00AB748E" w:rsidRDefault="006245FC" w:rsidP="00323303">
      <w:pPr>
        <w:pStyle w:val="Heading2"/>
      </w:pPr>
      <w:r w:rsidRPr="00AB748E">
        <w:t xml:space="preserve">NO BOYCOTT OF ISRAEL. </w:t>
      </w:r>
      <w:r w:rsidR="00323303" w:rsidRPr="00AB748E">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AB748E">
        <w:t>contract,</w:t>
      </w:r>
      <w:r w:rsidR="00323303" w:rsidRPr="00AB748E">
        <w:t xml:space="preserve"> it will not engage in a boycott of Israel as defined in NRS 333.338(3)(a).</w:t>
      </w:r>
    </w:p>
    <w:p w14:paraId="29BFD471" w14:textId="59B76FB7" w:rsidR="00C25667" w:rsidRPr="00AB748E" w:rsidRDefault="006245FC" w:rsidP="0087131B">
      <w:pPr>
        <w:pStyle w:val="Heading2"/>
      </w:pPr>
      <w:r w:rsidRPr="00AB748E">
        <w:t xml:space="preserve">INDEMNIFICATION. </w:t>
      </w:r>
      <w:r w:rsidR="001658B9" w:rsidRPr="00AB748E">
        <w:t>R</w:t>
      </w:r>
      <w:r w:rsidR="00C25667" w:rsidRPr="00AB748E">
        <w:t>equired contract terms on Indemnification: "</w:t>
      </w:r>
      <w:r w:rsidR="00323303" w:rsidRPr="00AB748E">
        <w:t>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Contractor’s obligation to indemnify the State shall apply in all cases except for claims arising solely from the State’s own negligence or willful misconduct. Contractor waives any rights of subrogation against the State. Contractor’s duty to defend begins when the State requests defense of any claim arising from this Contract.</w:t>
      </w:r>
      <w:r w:rsidR="00C25667" w:rsidRPr="00AB748E">
        <w:t>"</w:t>
      </w:r>
    </w:p>
    <w:p w14:paraId="2AB61754" w14:textId="26A9C80F" w:rsidR="00C25667" w:rsidRPr="00AB748E" w:rsidRDefault="00C25667" w:rsidP="00C371BD"/>
    <w:p w14:paraId="001B5753" w14:textId="0DB76060" w:rsidR="00AB748E" w:rsidRPr="00B66FFF" w:rsidRDefault="006245FC" w:rsidP="00C371BD">
      <w:pPr>
        <w:pStyle w:val="Heading2"/>
      </w:pPr>
      <w:r w:rsidRPr="00AB748E">
        <w:lastRenderedPageBreak/>
        <w:t xml:space="preserve">LIMITED LIABILITY. </w:t>
      </w:r>
      <w:r w:rsidR="001658B9" w:rsidRPr="00AB748E">
        <w:t>R</w:t>
      </w:r>
      <w:r w:rsidR="001543A1" w:rsidRPr="00AB748E">
        <w:t>equired contract terms on Limited Liability</w:t>
      </w:r>
      <w:r w:rsidR="00447B89" w:rsidRPr="00AB748E">
        <w:t>:</w:t>
      </w:r>
      <w:r w:rsidR="001543A1" w:rsidRPr="00AB748E">
        <w:t xml:space="preserve"> "</w:t>
      </w:r>
      <w:r w:rsidR="00323303" w:rsidRPr="00AB748E">
        <w:t xml:space="preserve">The State will not waive and intends to assert available NRS Chapter 41 liability limitations in all cases. </w:t>
      </w:r>
      <w:r w:rsidR="00C028A5" w:rsidRPr="00AB748E">
        <w:t>The contract</w:t>
      </w:r>
      <w:r w:rsidR="00323303" w:rsidRPr="00AB748E">
        <w:t xml:space="preserve"> liability of both parties shall not be subject to punitive damages. Damages for any State breach shall never exceed the amount of funds appropriated for payment under this Contract, but not yet paid to Contractor, for the Fiscal Year budget in existence at the time of the breach. Contractor’s tort liability shall not be limited.</w:t>
      </w:r>
      <w:r w:rsidR="001543A1" w:rsidRPr="00AB748E">
        <w:t>"</w:t>
      </w:r>
    </w:p>
    <w:p w14:paraId="0D416514" w14:textId="0BDD09BA" w:rsidR="006410FC" w:rsidRPr="00F526E2" w:rsidRDefault="006245FC" w:rsidP="00C371BD">
      <w:pPr>
        <w:pStyle w:val="Heading2"/>
      </w:pPr>
      <w:r w:rsidRPr="00AB748E">
        <w:t>CONTRACT RESPONSIBILITY. A</w:t>
      </w:r>
      <w:r w:rsidR="00E904A3" w:rsidRPr="00AB748E">
        <w:t xml:space="preserve">warded vendor shall be the sole point of contract responsibility. </w:t>
      </w:r>
      <w:r w:rsidR="008E44AD" w:rsidRPr="00AB748E">
        <w:t xml:space="preserve">The State shall look solely to the awarded vendor for the performance of all contractual obligations which may result from an award based on this </w:t>
      </w:r>
      <w:r w:rsidR="00D12E1A" w:rsidRPr="00AB748E">
        <w:t>solicitation</w:t>
      </w:r>
      <w:r w:rsidR="008E44AD" w:rsidRPr="00AB748E">
        <w:t>, and the awarded vendor shall not be relieved for the non-performance of any or all subcontractors.</w:t>
      </w:r>
    </w:p>
    <w:p w14:paraId="1EC6D571" w14:textId="3DDC7B0F" w:rsidR="0029420B" w:rsidRPr="00F526E2" w:rsidRDefault="006245FC" w:rsidP="00C371BD">
      <w:pPr>
        <w:pStyle w:val="Heading2"/>
      </w:pPr>
      <w:r w:rsidRPr="00AB748E">
        <w:t xml:space="preserve">STATESIDE DATA. </w:t>
      </w:r>
      <w:r w:rsidR="0061181A" w:rsidRPr="00AB748E">
        <w:t>State IT require</w:t>
      </w:r>
      <w:r w:rsidR="001658B9" w:rsidRPr="00AB748E">
        <w:t>s</w:t>
      </w:r>
      <w:r w:rsidR="0061181A" w:rsidRPr="00AB748E">
        <w:t xml:space="preserve"> that State data assets must be maintained </w:t>
      </w:r>
      <w:r w:rsidR="001658B9" w:rsidRPr="00AB748E">
        <w:t>in the United States</w:t>
      </w:r>
      <w:r w:rsidR="0061181A" w:rsidRPr="00AB748E">
        <w:t xml:space="preserve"> and data will not be held offshore.</w:t>
      </w:r>
    </w:p>
    <w:p w14:paraId="0208B6A4" w14:textId="0CA2DD72" w:rsidR="006245FC" w:rsidRPr="00F526E2" w:rsidRDefault="006245FC" w:rsidP="00C371BD">
      <w:pPr>
        <w:pStyle w:val="Heading2"/>
      </w:pPr>
      <w:r w:rsidRPr="00AB748E">
        <w:t xml:space="preserve">NEVADA BUSINESS LICENSE. Pursuant to NRS 353.007, prior to contract execution awarded vendor must hold a </w:t>
      </w:r>
      <w:r w:rsidR="009E1A18" w:rsidRPr="00AB748E">
        <w:t>state</w:t>
      </w:r>
      <w:r w:rsidRPr="00AB748E">
        <w:t xml:space="preserve"> business license pursuant to NRS chapter 76 unless exempted by NRS 76.100(7)(b).</w:t>
      </w:r>
    </w:p>
    <w:p w14:paraId="4FF66203" w14:textId="5CD68309" w:rsidR="002C7155" w:rsidRPr="00E24DE9" w:rsidRDefault="006245FC" w:rsidP="00E24DE9">
      <w:pPr>
        <w:pStyle w:val="Heading2"/>
      </w:pPr>
      <w:r w:rsidRPr="00AB748E">
        <w:t xml:space="preserve">DISCLOSURE. </w:t>
      </w:r>
      <w:r w:rsidR="0029420B" w:rsidRPr="00AB748E">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074AD2F4" w14:textId="77777777" w:rsidR="00430FAF" w:rsidRPr="00AB748E" w:rsidRDefault="00430FAF" w:rsidP="00430FAF">
      <w:pPr>
        <w:rPr>
          <w:bCs/>
        </w:rPr>
      </w:pPr>
    </w:p>
    <w:p w14:paraId="6BDF0BE3" w14:textId="7C7D3654" w:rsidR="007133E8" w:rsidRPr="00AB748E" w:rsidRDefault="004D7D81" w:rsidP="00A33A03">
      <w:pPr>
        <w:pStyle w:val="Heading1"/>
        <w:rPr>
          <w:b w:val="0"/>
        </w:rPr>
      </w:pPr>
      <w:bookmarkStart w:id="27" w:name="_Toc70363818"/>
      <w:bookmarkStart w:id="28" w:name="_Toc70367353"/>
      <w:bookmarkStart w:id="29" w:name="_Toc156979866"/>
      <w:r w:rsidRPr="00AB748E">
        <w:rPr>
          <w:b w:val="0"/>
        </w:rPr>
        <w:t>CRITICAL ITEMS</w:t>
      </w:r>
      <w:bookmarkEnd w:id="27"/>
      <w:bookmarkEnd w:id="28"/>
      <w:bookmarkEnd w:id="29"/>
    </w:p>
    <w:p w14:paraId="2717C761" w14:textId="5648A11D" w:rsidR="004D7D81" w:rsidRPr="00B543A4" w:rsidRDefault="004D7D81" w:rsidP="00C371BD"/>
    <w:p w14:paraId="4874E602" w14:textId="04098D35" w:rsidR="006F6504" w:rsidRDefault="003D2C7F" w:rsidP="00C371BD">
      <w:pPr>
        <w:pStyle w:val="Heading2"/>
      </w:pPr>
      <w:r w:rsidRPr="00B543A4">
        <w:t xml:space="preserve">In addition to the </w:t>
      </w:r>
      <w:r w:rsidRPr="00B543A4">
        <w:rPr>
          <w:i/>
          <w:iCs/>
        </w:rPr>
        <w:t>Scope of Work</w:t>
      </w:r>
      <w:r w:rsidR="00281323" w:rsidRPr="00B543A4">
        <w:t xml:space="preserve"> and </w:t>
      </w:r>
      <w:r w:rsidR="00281323" w:rsidRPr="00B543A4">
        <w:rPr>
          <w:i/>
          <w:iCs/>
        </w:rPr>
        <w:t>Attachments</w:t>
      </w:r>
      <w:r w:rsidRPr="00B543A4">
        <w:t>, t</w:t>
      </w:r>
      <w:r w:rsidR="004D7D81" w:rsidRPr="00B543A4">
        <w:t>he items listed in this section are critical to the success of the project</w:t>
      </w:r>
      <w:r w:rsidR="00A42319" w:rsidRPr="00B543A4">
        <w:t>. These items will be used in evaluating and scoring the proposal</w:t>
      </w:r>
      <w:r w:rsidR="00BE398E" w:rsidRPr="00B543A4">
        <w:t xml:space="preserve">. </w:t>
      </w:r>
      <w:r w:rsidR="000B0713" w:rsidRPr="00B543A4">
        <w:t xml:space="preserve">Vendor </w:t>
      </w:r>
      <w:r w:rsidR="00C028A5" w:rsidRPr="00B543A4">
        <w:t>proposals</w:t>
      </w:r>
      <w:r w:rsidR="000B0713" w:rsidRPr="00B543A4">
        <w:t xml:space="preserve"> should address items in this section in </w:t>
      </w:r>
      <w:r w:rsidR="00A06F83" w:rsidRPr="00B543A4">
        <w:t>enough</w:t>
      </w:r>
      <w:r w:rsidR="000B0713" w:rsidRPr="00B543A4">
        <w:t xml:space="preserve"> detail to provide </w:t>
      </w:r>
      <w:r w:rsidR="00C028A5" w:rsidRPr="00B543A4">
        <w:t>evaluators with</w:t>
      </w:r>
      <w:r w:rsidR="000B0713" w:rsidRPr="00B543A4">
        <w:t xml:space="preserve"> an accurate understanding of </w:t>
      </w:r>
      <w:r w:rsidR="00CD7AE2" w:rsidRPr="00B543A4">
        <w:t>vendor</w:t>
      </w:r>
      <w:r w:rsidR="000B0713" w:rsidRPr="00B543A4">
        <w:t xml:space="preserve"> capabilities.</w:t>
      </w:r>
      <w:r w:rsidR="00CA42A7" w:rsidRPr="00B543A4">
        <w:t xml:space="preserve"> </w:t>
      </w:r>
      <w:r w:rsidR="000E3DFD" w:rsidRPr="00B543A4">
        <w:t xml:space="preserve">Proposals that </w:t>
      </w:r>
      <w:r w:rsidR="001530A7" w:rsidRPr="00B543A4">
        <w:t xml:space="preserve">fail to sufficiently respond to these items </w:t>
      </w:r>
      <w:r w:rsidR="000E3DFD" w:rsidRPr="00B543A4">
        <w:t>may be considered non-responsive</w:t>
      </w:r>
      <w:r w:rsidR="001530A7" w:rsidRPr="00B543A4">
        <w:t>.</w:t>
      </w:r>
    </w:p>
    <w:p w14:paraId="6F9309D7" w14:textId="77777777" w:rsidR="00CE4BB8" w:rsidRPr="00CE4BB8" w:rsidRDefault="00CE4BB8" w:rsidP="00CE4BB8"/>
    <w:p w14:paraId="53B17190" w14:textId="2039E741" w:rsidR="007574FF" w:rsidRPr="00B543A4" w:rsidRDefault="006C59E6" w:rsidP="0087131B">
      <w:pPr>
        <w:pStyle w:val="Heading2"/>
      </w:pPr>
      <w:r w:rsidRPr="00B543A4">
        <w:t>CONTRACT FORM</w:t>
      </w:r>
      <w:r w:rsidR="0037204D" w:rsidRPr="00B543A4">
        <w:rPr>
          <w:i/>
          <w:iCs/>
        </w:rPr>
        <w:t xml:space="preserve">. </w:t>
      </w:r>
      <w:r w:rsidR="007574FF" w:rsidRPr="00B543A4">
        <w:t>The State strongly prefers vendors</w:t>
      </w:r>
      <w:r w:rsidR="00781A9C" w:rsidRPr="00B543A4">
        <w:t xml:space="preserve"> agree t</w:t>
      </w:r>
      <w:r w:rsidR="00E25B90" w:rsidRPr="00B543A4">
        <w:t xml:space="preserve">o the terms of the attached </w:t>
      </w:r>
      <w:r w:rsidR="00E25B90" w:rsidRPr="00B543A4">
        <w:rPr>
          <w:i/>
          <w:iCs/>
        </w:rPr>
        <w:t>Contract Form</w:t>
      </w:r>
      <w:r w:rsidR="00E25B90" w:rsidRPr="00B543A4">
        <w:t xml:space="preserve"> as is.</w:t>
      </w:r>
      <w:r w:rsidR="007574FF" w:rsidRPr="00B543A4">
        <w:t xml:space="preserve"> </w:t>
      </w:r>
      <w:r w:rsidR="00C028A5" w:rsidRPr="00B543A4">
        <w:t>The ability</w:t>
      </w:r>
      <w:r w:rsidR="007574FF" w:rsidRPr="00B543A4">
        <w:t xml:space="preserve"> to agree to contract terms is a high priority to the State. Vendors who cannot agree to the contract as is must include a redlined Word version of the attached </w:t>
      </w:r>
      <w:r w:rsidR="007574FF" w:rsidRPr="00B543A4">
        <w:rPr>
          <w:i/>
          <w:iCs/>
        </w:rPr>
        <w:t>Contract Form</w:t>
      </w:r>
      <w:r w:rsidR="007574FF" w:rsidRPr="00B543A4">
        <w:t xml:space="preserve"> with their proposal response.</w:t>
      </w:r>
      <w:r w:rsidR="00AB4168" w:rsidRPr="00B543A4">
        <w:t xml:space="preserve"> To the extent a vendor has prior contractual dealings with the State, no assumption should be made that terms outside those provided herein have any influence on this project.</w:t>
      </w:r>
    </w:p>
    <w:p w14:paraId="18179F4F" w14:textId="77777777" w:rsidR="007574FF" w:rsidRPr="00B66FFF" w:rsidRDefault="007574FF" w:rsidP="00C371BD"/>
    <w:p w14:paraId="5C953301" w14:textId="3F8A0946" w:rsidR="001324B9" w:rsidRDefault="006C59E6" w:rsidP="0087131B">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6455B742" w14:textId="43779608" w:rsidR="00C028A5" w:rsidRDefault="00C028A5" w:rsidP="00D11407">
      <w:pPr>
        <w:pStyle w:val="Heading3"/>
      </w:pPr>
      <w:r>
        <w:t>The awarded</w:t>
      </w:r>
      <w:r w:rsidR="002727A2" w:rsidRPr="002727A2">
        <w:t xml:space="preserve"> vendor shall maintain, for the duration of the contract, insurance </w:t>
      </w:r>
      <w:r w:rsidRPr="002727A2">
        <w:t>coverage</w:t>
      </w:r>
      <w:r w:rsidR="002727A2" w:rsidRPr="002727A2">
        <w:t xml:space="preserve"> as set forth in the fully executed contract.</w:t>
      </w:r>
    </w:p>
    <w:p w14:paraId="254B8868" w14:textId="3E47D2B2" w:rsidR="00A0719A" w:rsidRDefault="0007400C" w:rsidP="00D11407">
      <w:pPr>
        <w:pStyle w:val="Heading3"/>
      </w:pPr>
      <w:r>
        <w:t xml:space="preserve">Work on the contract shall not begin until after the awarded vendor has submitted acceptable evidence of the required insurance </w:t>
      </w:r>
      <w:r w:rsidR="00A0719A">
        <w:t>coverage</w:t>
      </w:r>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87131B">
      <w:pPr>
        <w:pStyle w:val="Heading2"/>
      </w:pPr>
      <w:r w:rsidRPr="00E07DDD">
        <w:t>VENDOR BACKGROUND</w:t>
      </w:r>
    </w:p>
    <w:p w14:paraId="199C8431" w14:textId="77777777" w:rsidR="00485BEA" w:rsidRPr="00B66FFF" w:rsidRDefault="00485BEA" w:rsidP="00485BEA"/>
    <w:p w14:paraId="3B3A0DF8" w14:textId="16F4FB79" w:rsidR="00A0719A" w:rsidRDefault="00485BEA" w:rsidP="00D11407">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87131B">
      <w:pPr>
        <w:pStyle w:val="Heading2"/>
      </w:pPr>
      <w:r w:rsidRPr="00E07DDD">
        <w:t>VENDOR STAFF RESUMES</w:t>
      </w:r>
    </w:p>
    <w:p w14:paraId="02DBD28B" w14:textId="77777777" w:rsidR="00875B0F" w:rsidRDefault="00875B0F" w:rsidP="00875B0F"/>
    <w:p w14:paraId="75884AB0" w14:textId="76DFB900" w:rsidR="00A0719A" w:rsidRPr="00CE4BB8" w:rsidRDefault="00875B0F" w:rsidP="00D11407">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87131B">
      <w:pPr>
        <w:pStyle w:val="Heading2"/>
      </w:pPr>
      <w:r w:rsidRPr="00E07DDD">
        <w:t>SUBCONTRACTORS</w:t>
      </w:r>
    </w:p>
    <w:p w14:paraId="53507281" w14:textId="77777777" w:rsidR="00EC5E9E" w:rsidRDefault="00EC5E9E" w:rsidP="00EC5E9E"/>
    <w:p w14:paraId="644C5ED1" w14:textId="5816C75B" w:rsidR="00853488" w:rsidRDefault="00EC5E9E" w:rsidP="00D11407">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4CF3725D" w14:textId="596FC7E5" w:rsidR="00853488" w:rsidRDefault="00A0719A" w:rsidP="00D11407">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7125CB8D" w14:textId="77777777" w:rsidR="00853488" w:rsidRDefault="00853488" w:rsidP="00D11407"/>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104F72">
      <w:pPr>
        <w:pStyle w:val="Heading4"/>
      </w:pPr>
      <w:r>
        <w:t>How the work of any subcontractor(s) shall be supervised</w:t>
      </w:r>
    </w:p>
    <w:p w14:paraId="0ABF0031" w14:textId="5E5805E0" w:rsidR="00EC5E9E" w:rsidRDefault="004154FC" w:rsidP="00104F72">
      <w:pPr>
        <w:pStyle w:val="Heading4"/>
      </w:pPr>
      <w:r>
        <w:t>How c</w:t>
      </w:r>
      <w:r w:rsidR="00EC5E9E">
        <w:t>hannels of communication shall be maintained</w:t>
      </w:r>
    </w:p>
    <w:p w14:paraId="5C771205" w14:textId="0D60EAF5" w:rsidR="00EC5E9E" w:rsidRDefault="004154FC" w:rsidP="00104F72">
      <w:pPr>
        <w:pStyle w:val="Heading4"/>
      </w:pPr>
      <w:r>
        <w:t>How c</w:t>
      </w:r>
      <w:r w:rsidR="00EC5E9E">
        <w:t>ompliance with contracts terms and conditions will be assured</w:t>
      </w:r>
    </w:p>
    <w:p w14:paraId="7B246D80" w14:textId="297F85B5" w:rsidR="002C7155" w:rsidRDefault="00EC5E9E" w:rsidP="00E24DE9">
      <w:pPr>
        <w:pStyle w:val="Heading4"/>
      </w:pPr>
      <w:r>
        <w:t>Previous experience with subcontractor(s)</w:t>
      </w:r>
    </w:p>
    <w:p w14:paraId="6F177ABE" w14:textId="77777777" w:rsidR="00485BEA" w:rsidRDefault="00485BEA" w:rsidP="00485BEA"/>
    <w:p w14:paraId="36559D35" w14:textId="26BB5123" w:rsidR="00485BEA" w:rsidRPr="00E07DDD" w:rsidRDefault="00485BEA" w:rsidP="0087131B">
      <w:pPr>
        <w:pStyle w:val="Heading2"/>
      </w:pPr>
      <w:r w:rsidRPr="00E07DDD">
        <w:t>VENDOR FINANCIAL INFORMATION</w:t>
      </w:r>
    </w:p>
    <w:p w14:paraId="0D7CDA9D" w14:textId="77777777" w:rsidR="00485BEA" w:rsidRDefault="00485BEA" w:rsidP="00485BEA"/>
    <w:p w14:paraId="45DE5C83" w14:textId="1F97BD17" w:rsidR="00853488" w:rsidRDefault="00485BEA" w:rsidP="00D11407">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705B07E4" w14:textId="086E30E4" w:rsidR="00853488" w:rsidRPr="00680389" w:rsidRDefault="00485BEA" w:rsidP="00D11407">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104F72">
      <w:pPr>
        <w:pStyle w:val="Heading4"/>
      </w:pPr>
      <w:r w:rsidRPr="00111CB9">
        <w:t>Dun and Bradstreet Number</w:t>
      </w:r>
    </w:p>
    <w:p w14:paraId="0DDC8C1B" w14:textId="77777777" w:rsidR="00485BEA" w:rsidRPr="00111CB9" w:rsidRDefault="00485BEA" w:rsidP="00104F72">
      <w:pPr>
        <w:pStyle w:val="Heading4"/>
      </w:pPr>
      <w:r w:rsidRPr="00111CB9">
        <w:t>Federal Tax Identification Number</w:t>
      </w:r>
    </w:p>
    <w:p w14:paraId="49646854" w14:textId="77777777" w:rsidR="00485BEA" w:rsidRPr="00B66FFF" w:rsidRDefault="00485BEA" w:rsidP="00485BEA"/>
    <w:p w14:paraId="1BF88B92" w14:textId="5CFBE2D9" w:rsidR="00B27BFE" w:rsidRPr="00E07DDD" w:rsidRDefault="00BE1A21" w:rsidP="0087131B">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3ED76978" w:rsidR="00B27BFE" w:rsidRDefault="001760B6" w:rsidP="001760B6">
      <w:pPr>
        <w:pStyle w:val="Heading3"/>
      </w:pPr>
      <w:r>
        <w:t>T</w:t>
      </w:r>
      <w:r w:rsidR="00B27BFE">
        <w:t xml:space="preserve">he State will not disclose submitted </w:t>
      </w:r>
      <w:r w:rsidR="00187C7C">
        <w:t>references but</w:t>
      </w:r>
      <w:r w:rsidR="00B27BFE">
        <w:t xml:space="preserve"> will confirm if a reference has been received.</w:t>
      </w:r>
    </w:p>
    <w:p w14:paraId="76DC4D8D" w14:textId="73ACCD28" w:rsidR="00A80662" w:rsidRDefault="00B27BFE" w:rsidP="00894E84">
      <w:pPr>
        <w:pStyle w:val="Heading3"/>
      </w:pPr>
      <w:r>
        <w:t>The State reserves the right to contact references during evaluation.</w:t>
      </w:r>
    </w:p>
    <w:p w14:paraId="4AD3007A" w14:textId="77777777"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56979867"/>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87131B">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2C3F75D8" w14:textId="007470A5" w:rsidR="004D3B3F" w:rsidRPr="00E07DDD" w:rsidRDefault="004D3B3F" w:rsidP="005179C8">
      <w:pPr>
        <w:pStyle w:val="Heading3"/>
      </w:pPr>
      <w:r w:rsidRPr="00E07DDD">
        <w:t xml:space="preserve">Additional attachments may be </w:t>
      </w:r>
      <w:r w:rsidR="00853488"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87131B">
      <w:pPr>
        <w:pStyle w:val="Heading2"/>
      </w:pPr>
      <w:r>
        <w:t>TECHNICAL PROPOSAL</w:t>
      </w:r>
    </w:p>
    <w:p w14:paraId="55154E16" w14:textId="77777777" w:rsidR="004D3B3F" w:rsidRDefault="004D3B3F" w:rsidP="004D3B3F"/>
    <w:p w14:paraId="2D618DD1" w14:textId="77777777" w:rsidR="004D3B3F" w:rsidRDefault="004D3B3F" w:rsidP="00104F72">
      <w:pPr>
        <w:pStyle w:val="Heading4"/>
      </w:pPr>
      <w:r>
        <w:t>Title Page</w:t>
      </w:r>
    </w:p>
    <w:p w14:paraId="128A4D04" w14:textId="77777777" w:rsidR="004D3B3F" w:rsidRDefault="004D3B3F" w:rsidP="00104F72">
      <w:pPr>
        <w:pStyle w:val="Heading4"/>
      </w:pPr>
      <w:r>
        <w:t>Table of Contents</w:t>
      </w:r>
    </w:p>
    <w:p w14:paraId="5EB94DDF" w14:textId="26D988D0" w:rsidR="004D3B3F" w:rsidRDefault="002F7107" w:rsidP="00104F72">
      <w:pPr>
        <w:pStyle w:val="Heading4"/>
      </w:pPr>
      <w:r>
        <w:t xml:space="preserve">Response to </w:t>
      </w:r>
      <w:r w:rsidR="004D3B3F">
        <w:t>Mandatory Minimum Requirements</w:t>
      </w:r>
    </w:p>
    <w:p w14:paraId="05ED3F6E" w14:textId="5AF4E097" w:rsidR="004D3B3F" w:rsidRDefault="002F7107" w:rsidP="00104F72">
      <w:pPr>
        <w:pStyle w:val="Heading4"/>
      </w:pPr>
      <w:r>
        <w:t xml:space="preserve">Response to </w:t>
      </w:r>
      <w:r w:rsidR="004D3B3F">
        <w:t>Critical Items</w:t>
      </w:r>
    </w:p>
    <w:p w14:paraId="79A70326" w14:textId="4BF5CECC" w:rsidR="004D3B3F" w:rsidRPr="00A87677" w:rsidRDefault="004D3B3F" w:rsidP="00104F72">
      <w:pPr>
        <w:pStyle w:val="Heading4"/>
      </w:pPr>
      <w:r>
        <w:t>Response to Scope of Work</w:t>
      </w:r>
    </w:p>
    <w:p w14:paraId="414D63F1" w14:textId="77777777" w:rsidR="00785D00" w:rsidRDefault="00785D00" w:rsidP="00104F72">
      <w:pPr>
        <w:pStyle w:val="Heading4"/>
      </w:pPr>
      <w:r>
        <w:t>Proposed Staff Resumes</w:t>
      </w:r>
    </w:p>
    <w:p w14:paraId="19CC7DA6" w14:textId="1394BCEB" w:rsidR="00894E84" w:rsidRDefault="004D3B3F" w:rsidP="00104F72">
      <w:pPr>
        <w:pStyle w:val="Heading4"/>
      </w:pPr>
      <w:r>
        <w:t>Other Informational Material</w:t>
      </w:r>
    </w:p>
    <w:p w14:paraId="011ACAAE" w14:textId="77777777" w:rsidR="004F5DE0" w:rsidRPr="00F0396A" w:rsidRDefault="004F5DE0" w:rsidP="004D3B3F"/>
    <w:p w14:paraId="47B3A81E" w14:textId="2BE9A489" w:rsidR="004D3B3F" w:rsidRPr="000B70E9" w:rsidRDefault="006700EC" w:rsidP="0087131B">
      <w:pPr>
        <w:pStyle w:val="Heading2"/>
      </w:pPr>
      <w:r>
        <w:t>PROPRIETARY INFORMATION. I</w:t>
      </w:r>
      <w:r w:rsidR="004D3B3F">
        <w:t xml:space="preserve">f </w:t>
      </w:r>
      <w:r w:rsidR="007270C7">
        <w:t>necessary</w:t>
      </w:r>
      <w:r>
        <w:t>.</w:t>
      </w:r>
      <w:r w:rsidR="004D3B3F">
        <w:t xml:space="preserve"> </w:t>
      </w:r>
      <w:r w:rsidR="00853488">
        <w:t>The attachment</w:t>
      </w:r>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104F72">
      <w:pPr>
        <w:pStyle w:val="Heading4"/>
      </w:pPr>
      <w:r>
        <w:t>Title Page</w:t>
      </w:r>
    </w:p>
    <w:p w14:paraId="4DC780FC" w14:textId="77777777" w:rsidR="004D3B3F" w:rsidRDefault="004D3B3F" w:rsidP="00104F72">
      <w:pPr>
        <w:pStyle w:val="Heading4"/>
      </w:pPr>
      <w:r>
        <w:t>Table of Contents</w:t>
      </w:r>
    </w:p>
    <w:p w14:paraId="00F1B33A" w14:textId="433F14D7" w:rsidR="004D3B3F" w:rsidRDefault="004D3B3F" w:rsidP="00104F72">
      <w:pPr>
        <w:pStyle w:val="Heading4"/>
      </w:pPr>
      <w:r>
        <w:t xml:space="preserve">Trade Secret information, cross </w:t>
      </w:r>
      <w:r w:rsidR="00853488">
        <w:t>reference</w:t>
      </w:r>
      <w:r>
        <w:t xml:space="preserve"> to the technical </w:t>
      </w:r>
      <w:r w:rsidR="00853488">
        <w:t>proposal.</w:t>
      </w:r>
    </w:p>
    <w:p w14:paraId="503A3896" w14:textId="77777777" w:rsidR="006700EC" w:rsidRPr="006700EC" w:rsidRDefault="006700EC" w:rsidP="006700EC"/>
    <w:p w14:paraId="53755B70" w14:textId="350D442C" w:rsidR="004D3B3F" w:rsidRDefault="006700EC" w:rsidP="0087131B">
      <w:pPr>
        <w:pStyle w:val="Heading2"/>
      </w:pPr>
      <w:r>
        <w:t xml:space="preserve">VENDOR FINANCIAL INFORMATION. </w:t>
      </w:r>
      <w:r w:rsidR="00853488">
        <w:t>The attachment</w:t>
      </w:r>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87131B">
      <w:pPr>
        <w:pStyle w:val="Heading2"/>
      </w:pPr>
      <w:r>
        <w:lastRenderedPageBreak/>
        <w:t>SIGNED ATTACHMENTS</w:t>
      </w:r>
    </w:p>
    <w:p w14:paraId="0DE5FD21" w14:textId="77777777" w:rsidR="00FF462A" w:rsidRPr="00FF462A" w:rsidRDefault="00FF462A" w:rsidP="00FF462A"/>
    <w:p w14:paraId="031051B3" w14:textId="77777777" w:rsidR="009F518D" w:rsidRDefault="009F518D" w:rsidP="00104F72">
      <w:pPr>
        <w:pStyle w:val="Heading4"/>
      </w:pPr>
      <w:r>
        <w:t>Vendor Information Response</w:t>
      </w:r>
    </w:p>
    <w:p w14:paraId="0383E576" w14:textId="61FA61C2" w:rsidR="000E1B09" w:rsidRDefault="000E1B09" w:rsidP="00104F72">
      <w:pPr>
        <w:pStyle w:val="Heading4"/>
      </w:pPr>
      <w:r>
        <w:t xml:space="preserve">Vendor </w:t>
      </w:r>
      <w:r w:rsidR="00607BBA">
        <w:t>Certifications</w:t>
      </w:r>
    </w:p>
    <w:p w14:paraId="760686C1" w14:textId="77777777" w:rsidR="000E1B09" w:rsidRDefault="000E1B09" w:rsidP="00104F72">
      <w:pPr>
        <w:pStyle w:val="Heading4"/>
      </w:pPr>
      <w:r>
        <w:t>Confidentiality and Certification of Indemnification</w:t>
      </w:r>
    </w:p>
    <w:p w14:paraId="2438B77D" w14:textId="50FEE61C" w:rsidR="000E1B09" w:rsidRDefault="000E1B09" w:rsidP="00104F72">
      <w:pPr>
        <w:pStyle w:val="Heading4"/>
      </w:pPr>
      <w:r>
        <w:t>Certification Regarding Lobbying</w:t>
      </w:r>
    </w:p>
    <w:p w14:paraId="5DCEA330" w14:textId="77777777" w:rsidR="00452DAB" w:rsidRPr="00452DAB" w:rsidRDefault="00452DAB" w:rsidP="00452DAB"/>
    <w:p w14:paraId="5841A756" w14:textId="296BA4D1" w:rsidR="004D3B3F" w:rsidRDefault="006700EC" w:rsidP="0087131B">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87131B">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FB46049"/>
    <w:multiLevelType w:val="hybridMultilevel"/>
    <w:tmpl w:val="5426C4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D3566F"/>
    <w:multiLevelType w:val="hybridMultilevel"/>
    <w:tmpl w:val="5426C4B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1"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5"/>
  </w:num>
  <w:num w:numId="2" w16cid:durableId="1684018491">
    <w:abstractNumId w:val="1"/>
  </w:num>
  <w:num w:numId="3" w16cid:durableId="653334521">
    <w:abstractNumId w:val="14"/>
  </w:num>
  <w:num w:numId="4" w16cid:durableId="328287560">
    <w:abstractNumId w:val="0"/>
  </w:num>
  <w:num w:numId="5" w16cid:durableId="896598364">
    <w:abstractNumId w:val="18"/>
  </w:num>
  <w:num w:numId="6" w16cid:durableId="145898729">
    <w:abstractNumId w:val="21"/>
  </w:num>
  <w:num w:numId="7" w16cid:durableId="34089400">
    <w:abstractNumId w:val="23"/>
  </w:num>
  <w:num w:numId="8" w16cid:durableId="706638815">
    <w:abstractNumId w:val="19"/>
  </w:num>
  <w:num w:numId="9" w16cid:durableId="1232042690">
    <w:abstractNumId w:val="10"/>
  </w:num>
  <w:num w:numId="10" w16cid:durableId="19721280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2"/>
  </w:num>
  <w:num w:numId="14" w16cid:durableId="1134910957">
    <w:abstractNumId w:val="6"/>
  </w:num>
  <w:num w:numId="15" w16cid:durableId="2023430358">
    <w:abstractNumId w:val="26"/>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4"/>
  </w:num>
  <w:num w:numId="26" w16cid:durableId="5096379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20"/>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lvlOverride w:ilvl="0">
      <w:lvl w:ilvl="0">
        <w:start w:val="1"/>
        <w:numFmt w:val="decimal"/>
        <w:pStyle w:val="Heading1"/>
        <w:lvlText w:val="%1."/>
        <w:lvlJc w:val="left"/>
        <w:pPr>
          <w:ind w:left="720" w:hanging="720"/>
        </w:pPr>
      </w:lvl>
    </w:lvlOverride>
    <w:lvlOverride w:ilvl="1">
      <w:lvl w:ilvl="1">
        <w:start w:val="1"/>
        <w:numFmt w:val="decimal"/>
        <w:pStyle w:val="Heading2"/>
        <w:lvlText w:val="%1.%2."/>
        <w:lvlJc w:val="left"/>
        <w:pPr>
          <w:ind w:left="720" w:hanging="720"/>
        </w:pPr>
        <w:rPr>
          <w:rFonts w:ascii="Times New Roman" w:hAnsi="Times New Roman" w:hint="default"/>
          <w:b w:val="0"/>
          <w:i w:val="0"/>
          <w:sz w:val="20"/>
        </w:rPr>
      </w:lvl>
    </w:lvlOverride>
    <w:lvlOverride w:ilvl="2">
      <w:lvl w:ilvl="2">
        <w:start w:val="1"/>
        <w:numFmt w:val="decimal"/>
        <w:pStyle w:val="Heading3"/>
        <w:lvlText w:val="%1.%2.%3."/>
        <w:lvlJc w:val="left"/>
        <w:pPr>
          <w:ind w:left="720" w:hanging="720"/>
        </w:pPr>
        <w:rPr>
          <w:rFonts w:ascii="Times New Roman" w:hAnsi="Times New Roman" w:hint="default"/>
          <w:b w:val="0"/>
          <w:i w:val="0"/>
          <w:sz w:val="20"/>
        </w:rPr>
      </w:lvl>
    </w:lvlOverride>
    <w:lvlOverride w:ilvl="3">
      <w:lvl w:ilvl="3">
        <w:start w:val="1"/>
        <w:numFmt w:val="upperLetter"/>
        <w:pStyle w:val="Heading4"/>
        <w:lvlText w:val="%4."/>
        <w:lvlJc w:val="left"/>
        <w:pPr>
          <w:ind w:left="1080" w:hanging="360"/>
        </w:pPr>
        <w:rPr>
          <w:rFonts w:ascii="Times New Roman" w:hAnsi="Times New Roman" w:hint="default"/>
          <w:b w:val="0"/>
          <w:i w:val="0"/>
          <w:sz w:val="20"/>
        </w:rPr>
      </w:lvl>
    </w:lvlOverride>
    <w:lvlOverride w:ilvl="4">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Override>
    <w:lvlOverride w:ilvl="5">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Override>
  </w:num>
  <w:num w:numId="38" w16cid:durableId="528614116">
    <w:abstractNumId w:val="16"/>
  </w:num>
  <w:num w:numId="39" w16cid:durableId="839733123">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043B"/>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97FDB"/>
    <w:rsid w:val="000A2004"/>
    <w:rsid w:val="000A3F74"/>
    <w:rsid w:val="000A5780"/>
    <w:rsid w:val="000A5C45"/>
    <w:rsid w:val="000A5FE4"/>
    <w:rsid w:val="000A6C18"/>
    <w:rsid w:val="000B0713"/>
    <w:rsid w:val="000B4762"/>
    <w:rsid w:val="000B5C54"/>
    <w:rsid w:val="000C20FD"/>
    <w:rsid w:val="000C5876"/>
    <w:rsid w:val="000C6FAA"/>
    <w:rsid w:val="000C7F0B"/>
    <w:rsid w:val="000D2251"/>
    <w:rsid w:val="000D2FF1"/>
    <w:rsid w:val="000E1B09"/>
    <w:rsid w:val="000E3465"/>
    <w:rsid w:val="000E3DFD"/>
    <w:rsid w:val="000F013F"/>
    <w:rsid w:val="0010495B"/>
    <w:rsid w:val="00104A2B"/>
    <w:rsid w:val="00104F72"/>
    <w:rsid w:val="001265EB"/>
    <w:rsid w:val="001324B9"/>
    <w:rsid w:val="00147EE8"/>
    <w:rsid w:val="00152455"/>
    <w:rsid w:val="001530A7"/>
    <w:rsid w:val="001539A4"/>
    <w:rsid w:val="00153BCB"/>
    <w:rsid w:val="001543A1"/>
    <w:rsid w:val="00160372"/>
    <w:rsid w:val="00165267"/>
    <w:rsid w:val="001658B9"/>
    <w:rsid w:val="001760B6"/>
    <w:rsid w:val="00180E3F"/>
    <w:rsid w:val="001855A7"/>
    <w:rsid w:val="00187C7C"/>
    <w:rsid w:val="00190A34"/>
    <w:rsid w:val="00191A57"/>
    <w:rsid w:val="00196B4F"/>
    <w:rsid w:val="001A4BA4"/>
    <w:rsid w:val="001B19D7"/>
    <w:rsid w:val="001B7BD2"/>
    <w:rsid w:val="001C067D"/>
    <w:rsid w:val="001C2AB5"/>
    <w:rsid w:val="001C645E"/>
    <w:rsid w:val="001D00CF"/>
    <w:rsid w:val="001D14F1"/>
    <w:rsid w:val="001D44B2"/>
    <w:rsid w:val="001D7FFA"/>
    <w:rsid w:val="001E2934"/>
    <w:rsid w:val="001E3457"/>
    <w:rsid w:val="001E58EC"/>
    <w:rsid w:val="001E641C"/>
    <w:rsid w:val="001F7449"/>
    <w:rsid w:val="00202C5B"/>
    <w:rsid w:val="00203EC3"/>
    <w:rsid w:val="00205D97"/>
    <w:rsid w:val="002075B2"/>
    <w:rsid w:val="00207B37"/>
    <w:rsid w:val="002118A9"/>
    <w:rsid w:val="0021376D"/>
    <w:rsid w:val="00216976"/>
    <w:rsid w:val="0022060D"/>
    <w:rsid w:val="00233863"/>
    <w:rsid w:val="00233D7E"/>
    <w:rsid w:val="00240347"/>
    <w:rsid w:val="00240E2B"/>
    <w:rsid w:val="002416D0"/>
    <w:rsid w:val="00244AC0"/>
    <w:rsid w:val="002458DB"/>
    <w:rsid w:val="00246CBF"/>
    <w:rsid w:val="002519E8"/>
    <w:rsid w:val="002553D3"/>
    <w:rsid w:val="002566A1"/>
    <w:rsid w:val="00262766"/>
    <w:rsid w:val="00262D92"/>
    <w:rsid w:val="00264A21"/>
    <w:rsid w:val="0027159D"/>
    <w:rsid w:val="00272312"/>
    <w:rsid w:val="002727A2"/>
    <w:rsid w:val="00281323"/>
    <w:rsid w:val="0028370B"/>
    <w:rsid w:val="00290D41"/>
    <w:rsid w:val="002934F0"/>
    <w:rsid w:val="0029420B"/>
    <w:rsid w:val="00294C68"/>
    <w:rsid w:val="002A20BC"/>
    <w:rsid w:val="002B29C6"/>
    <w:rsid w:val="002B64E4"/>
    <w:rsid w:val="002B726B"/>
    <w:rsid w:val="002B7BB9"/>
    <w:rsid w:val="002C3CE4"/>
    <w:rsid w:val="002C66DA"/>
    <w:rsid w:val="002C7155"/>
    <w:rsid w:val="002D1A68"/>
    <w:rsid w:val="002E02C9"/>
    <w:rsid w:val="002E15D7"/>
    <w:rsid w:val="002F06A0"/>
    <w:rsid w:val="002F1115"/>
    <w:rsid w:val="002F14B8"/>
    <w:rsid w:val="002F7107"/>
    <w:rsid w:val="00300B56"/>
    <w:rsid w:val="003032FE"/>
    <w:rsid w:val="003036E0"/>
    <w:rsid w:val="00305BC0"/>
    <w:rsid w:val="00305F44"/>
    <w:rsid w:val="00307E07"/>
    <w:rsid w:val="003118CA"/>
    <w:rsid w:val="003140AC"/>
    <w:rsid w:val="0031674C"/>
    <w:rsid w:val="003168D7"/>
    <w:rsid w:val="00323303"/>
    <w:rsid w:val="00323AD1"/>
    <w:rsid w:val="00324A9C"/>
    <w:rsid w:val="003263AA"/>
    <w:rsid w:val="0033040F"/>
    <w:rsid w:val="00343444"/>
    <w:rsid w:val="003453F4"/>
    <w:rsid w:val="00354CB6"/>
    <w:rsid w:val="0035709A"/>
    <w:rsid w:val="003622B2"/>
    <w:rsid w:val="00365812"/>
    <w:rsid w:val="0037204D"/>
    <w:rsid w:val="00372CF6"/>
    <w:rsid w:val="00376AC2"/>
    <w:rsid w:val="00377C68"/>
    <w:rsid w:val="00380ED7"/>
    <w:rsid w:val="003837AC"/>
    <w:rsid w:val="003839CC"/>
    <w:rsid w:val="0038551B"/>
    <w:rsid w:val="00390D2D"/>
    <w:rsid w:val="00396143"/>
    <w:rsid w:val="003A32F7"/>
    <w:rsid w:val="003A37B2"/>
    <w:rsid w:val="003A4702"/>
    <w:rsid w:val="003A4F47"/>
    <w:rsid w:val="003A680C"/>
    <w:rsid w:val="003A716F"/>
    <w:rsid w:val="003B1ECB"/>
    <w:rsid w:val="003B3F79"/>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31B6"/>
    <w:rsid w:val="00425646"/>
    <w:rsid w:val="00430FAF"/>
    <w:rsid w:val="004323AD"/>
    <w:rsid w:val="00437ADD"/>
    <w:rsid w:val="00442A39"/>
    <w:rsid w:val="00447B89"/>
    <w:rsid w:val="00452DAB"/>
    <w:rsid w:val="00464CE1"/>
    <w:rsid w:val="00470B98"/>
    <w:rsid w:val="00473394"/>
    <w:rsid w:val="00480878"/>
    <w:rsid w:val="00485BEA"/>
    <w:rsid w:val="0048612E"/>
    <w:rsid w:val="00497FA1"/>
    <w:rsid w:val="004A4AAB"/>
    <w:rsid w:val="004B51CC"/>
    <w:rsid w:val="004C2217"/>
    <w:rsid w:val="004C4C63"/>
    <w:rsid w:val="004D1F62"/>
    <w:rsid w:val="004D3B3F"/>
    <w:rsid w:val="004D7D81"/>
    <w:rsid w:val="004E04B0"/>
    <w:rsid w:val="004E097E"/>
    <w:rsid w:val="004E0F3B"/>
    <w:rsid w:val="004E25D0"/>
    <w:rsid w:val="004F1265"/>
    <w:rsid w:val="004F2D52"/>
    <w:rsid w:val="004F45EE"/>
    <w:rsid w:val="004F5DE0"/>
    <w:rsid w:val="00501C93"/>
    <w:rsid w:val="00502439"/>
    <w:rsid w:val="00505B81"/>
    <w:rsid w:val="00512951"/>
    <w:rsid w:val="00513FA5"/>
    <w:rsid w:val="00516604"/>
    <w:rsid w:val="005179C8"/>
    <w:rsid w:val="005224A8"/>
    <w:rsid w:val="00524655"/>
    <w:rsid w:val="005374CB"/>
    <w:rsid w:val="00544D8D"/>
    <w:rsid w:val="00547F4C"/>
    <w:rsid w:val="005515B9"/>
    <w:rsid w:val="00560435"/>
    <w:rsid w:val="0056247C"/>
    <w:rsid w:val="00567489"/>
    <w:rsid w:val="005715EB"/>
    <w:rsid w:val="0057240B"/>
    <w:rsid w:val="00575978"/>
    <w:rsid w:val="00580F97"/>
    <w:rsid w:val="00586055"/>
    <w:rsid w:val="005926D5"/>
    <w:rsid w:val="0059464C"/>
    <w:rsid w:val="00595598"/>
    <w:rsid w:val="0059577F"/>
    <w:rsid w:val="00596F85"/>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1920"/>
    <w:rsid w:val="006245FC"/>
    <w:rsid w:val="00627AF3"/>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D4E02"/>
    <w:rsid w:val="006D78AA"/>
    <w:rsid w:val="006E0050"/>
    <w:rsid w:val="006E184F"/>
    <w:rsid w:val="006E1CCE"/>
    <w:rsid w:val="006E4643"/>
    <w:rsid w:val="006F1C69"/>
    <w:rsid w:val="006F368F"/>
    <w:rsid w:val="006F64EA"/>
    <w:rsid w:val="006F6504"/>
    <w:rsid w:val="00701D87"/>
    <w:rsid w:val="00702E8A"/>
    <w:rsid w:val="007126C0"/>
    <w:rsid w:val="007133E8"/>
    <w:rsid w:val="007177C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5F18"/>
    <w:rsid w:val="007A6029"/>
    <w:rsid w:val="007A619F"/>
    <w:rsid w:val="007A7D18"/>
    <w:rsid w:val="007B2775"/>
    <w:rsid w:val="007B465E"/>
    <w:rsid w:val="007B66B5"/>
    <w:rsid w:val="007C1322"/>
    <w:rsid w:val="007C255A"/>
    <w:rsid w:val="007C531F"/>
    <w:rsid w:val="007C7D8F"/>
    <w:rsid w:val="007D1F43"/>
    <w:rsid w:val="007D58C4"/>
    <w:rsid w:val="007F0E8B"/>
    <w:rsid w:val="007F278A"/>
    <w:rsid w:val="007F56E5"/>
    <w:rsid w:val="007F5906"/>
    <w:rsid w:val="007F6E1F"/>
    <w:rsid w:val="008007AC"/>
    <w:rsid w:val="00804E18"/>
    <w:rsid w:val="008122E9"/>
    <w:rsid w:val="00816810"/>
    <w:rsid w:val="0082268C"/>
    <w:rsid w:val="00822BFB"/>
    <w:rsid w:val="008350C8"/>
    <w:rsid w:val="008357FE"/>
    <w:rsid w:val="008366C6"/>
    <w:rsid w:val="00837050"/>
    <w:rsid w:val="00840A72"/>
    <w:rsid w:val="00844086"/>
    <w:rsid w:val="00853488"/>
    <w:rsid w:val="0085550D"/>
    <w:rsid w:val="0085760D"/>
    <w:rsid w:val="0086378C"/>
    <w:rsid w:val="00864B43"/>
    <w:rsid w:val="0087131B"/>
    <w:rsid w:val="00873F92"/>
    <w:rsid w:val="00875B0F"/>
    <w:rsid w:val="00876B0B"/>
    <w:rsid w:val="00876C65"/>
    <w:rsid w:val="00890020"/>
    <w:rsid w:val="00890592"/>
    <w:rsid w:val="00894E84"/>
    <w:rsid w:val="00897D2F"/>
    <w:rsid w:val="008A02CB"/>
    <w:rsid w:val="008B2AAF"/>
    <w:rsid w:val="008B3202"/>
    <w:rsid w:val="008B3F9B"/>
    <w:rsid w:val="008B4C30"/>
    <w:rsid w:val="008B77CB"/>
    <w:rsid w:val="008B7EA8"/>
    <w:rsid w:val="008C7154"/>
    <w:rsid w:val="008D06C4"/>
    <w:rsid w:val="008D4B2D"/>
    <w:rsid w:val="008E0079"/>
    <w:rsid w:val="008E2147"/>
    <w:rsid w:val="008E44AD"/>
    <w:rsid w:val="008E6ECA"/>
    <w:rsid w:val="008F0FA5"/>
    <w:rsid w:val="008F2098"/>
    <w:rsid w:val="008F5CF1"/>
    <w:rsid w:val="009033CE"/>
    <w:rsid w:val="00916527"/>
    <w:rsid w:val="00917638"/>
    <w:rsid w:val="00924DBD"/>
    <w:rsid w:val="00931C7B"/>
    <w:rsid w:val="00932D12"/>
    <w:rsid w:val="00944BBF"/>
    <w:rsid w:val="0095261E"/>
    <w:rsid w:val="00954355"/>
    <w:rsid w:val="00961CD9"/>
    <w:rsid w:val="00966987"/>
    <w:rsid w:val="00970BC2"/>
    <w:rsid w:val="00973CBD"/>
    <w:rsid w:val="009745E2"/>
    <w:rsid w:val="00975C32"/>
    <w:rsid w:val="00976775"/>
    <w:rsid w:val="009977C9"/>
    <w:rsid w:val="00997A44"/>
    <w:rsid w:val="009A6FB4"/>
    <w:rsid w:val="009A7578"/>
    <w:rsid w:val="009B21A9"/>
    <w:rsid w:val="009B6674"/>
    <w:rsid w:val="009C6433"/>
    <w:rsid w:val="009D0A66"/>
    <w:rsid w:val="009D60F1"/>
    <w:rsid w:val="009E1A18"/>
    <w:rsid w:val="009E5F49"/>
    <w:rsid w:val="009F0B66"/>
    <w:rsid w:val="009F104F"/>
    <w:rsid w:val="009F518D"/>
    <w:rsid w:val="009F75B7"/>
    <w:rsid w:val="00A02A14"/>
    <w:rsid w:val="00A0307B"/>
    <w:rsid w:val="00A04C35"/>
    <w:rsid w:val="00A04E12"/>
    <w:rsid w:val="00A06F83"/>
    <w:rsid w:val="00A0719A"/>
    <w:rsid w:val="00A159A8"/>
    <w:rsid w:val="00A159C1"/>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0662"/>
    <w:rsid w:val="00A828BC"/>
    <w:rsid w:val="00A86042"/>
    <w:rsid w:val="00AA1D99"/>
    <w:rsid w:val="00AA49B0"/>
    <w:rsid w:val="00AA52B8"/>
    <w:rsid w:val="00AA799D"/>
    <w:rsid w:val="00AB4168"/>
    <w:rsid w:val="00AB748E"/>
    <w:rsid w:val="00AB7A0B"/>
    <w:rsid w:val="00AC3167"/>
    <w:rsid w:val="00AC390B"/>
    <w:rsid w:val="00AD0C6B"/>
    <w:rsid w:val="00AD22C3"/>
    <w:rsid w:val="00AE01EE"/>
    <w:rsid w:val="00AE0ED5"/>
    <w:rsid w:val="00AE3F7D"/>
    <w:rsid w:val="00AE607B"/>
    <w:rsid w:val="00AF7265"/>
    <w:rsid w:val="00B00C2E"/>
    <w:rsid w:val="00B01158"/>
    <w:rsid w:val="00B02D12"/>
    <w:rsid w:val="00B05314"/>
    <w:rsid w:val="00B07447"/>
    <w:rsid w:val="00B07887"/>
    <w:rsid w:val="00B105BB"/>
    <w:rsid w:val="00B250FF"/>
    <w:rsid w:val="00B27302"/>
    <w:rsid w:val="00B27B3B"/>
    <w:rsid w:val="00B27BFE"/>
    <w:rsid w:val="00B330D9"/>
    <w:rsid w:val="00B37D22"/>
    <w:rsid w:val="00B41D60"/>
    <w:rsid w:val="00B51B7B"/>
    <w:rsid w:val="00B5366F"/>
    <w:rsid w:val="00B53D23"/>
    <w:rsid w:val="00B543A4"/>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A15CE"/>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28A5"/>
    <w:rsid w:val="00C0347B"/>
    <w:rsid w:val="00C058D2"/>
    <w:rsid w:val="00C12C59"/>
    <w:rsid w:val="00C25667"/>
    <w:rsid w:val="00C279AD"/>
    <w:rsid w:val="00C312A7"/>
    <w:rsid w:val="00C371BD"/>
    <w:rsid w:val="00C37CD2"/>
    <w:rsid w:val="00C4165E"/>
    <w:rsid w:val="00C51708"/>
    <w:rsid w:val="00C531F1"/>
    <w:rsid w:val="00C56046"/>
    <w:rsid w:val="00C65313"/>
    <w:rsid w:val="00C76F87"/>
    <w:rsid w:val="00C77F5D"/>
    <w:rsid w:val="00C80730"/>
    <w:rsid w:val="00C80787"/>
    <w:rsid w:val="00C812C1"/>
    <w:rsid w:val="00C8235B"/>
    <w:rsid w:val="00C83CBC"/>
    <w:rsid w:val="00C84861"/>
    <w:rsid w:val="00C96F08"/>
    <w:rsid w:val="00CA0951"/>
    <w:rsid w:val="00CA42A7"/>
    <w:rsid w:val="00CA71ED"/>
    <w:rsid w:val="00CB0D80"/>
    <w:rsid w:val="00CC6879"/>
    <w:rsid w:val="00CD7AE2"/>
    <w:rsid w:val="00CE3174"/>
    <w:rsid w:val="00CE3D28"/>
    <w:rsid w:val="00CE4363"/>
    <w:rsid w:val="00CE4BB8"/>
    <w:rsid w:val="00CF1A6F"/>
    <w:rsid w:val="00CF2223"/>
    <w:rsid w:val="00CF2811"/>
    <w:rsid w:val="00CF52F6"/>
    <w:rsid w:val="00CF7739"/>
    <w:rsid w:val="00D0022A"/>
    <w:rsid w:val="00D01E88"/>
    <w:rsid w:val="00D031F5"/>
    <w:rsid w:val="00D07375"/>
    <w:rsid w:val="00D106C8"/>
    <w:rsid w:val="00D11407"/>
    <w:rsid w:val="00D11770"/>
    <w:rsid w:val="00D12E1A"/>
    <w:rsid w:val="00D17464"/>
    <w:rsid w:val="00D33809"/>
    <w:rsid w:val="00D35C57"/>
    <w:rsid w:val="00D47D3A"/>
    <w:rsid w:val="00D505E2"/>
    <w:rsid w:val="00D524CE"/>
    <w:rsid w:val="00D66B93"/>
    <w:rsid w:val="00D70FB7"/>
    <w:rsid w:val="00D844AF"/>
    <w:rsid w:val="00D851AD"/>
    <w:rsid w:val="00D85839"/>
    <w:rsid w:val="00D91DEB"/>
    <w:rsid w:val="00D92F7A"/>
    <w:rsid w:val="00D96731"/>
    <w:rsid w:val="00DA1CF1"/>
    <w:rsid w:val="00DA30DE"/>
    <w:rsid w:val="00DA481B"/>
    <w:rsid w:val="00DA7261"/>
    <w:rsid w:val="00DB4AB8"/>
    <w:rsid w:val="00DB7A51"/>
    <w:rsid w:val="00DC396F"/>
    <w:rsid w:val="00DC4995"/>
    <w:rsid w:val="00DC4ADD"/>
    <w:rsid w:val="00DC4F8D"/>
    <w:rsid w:val="00DD2144"/>
    <w:rsid w:val="00DE3501"/>
    <w:rsid w:val="00DE4A38"/>
    <w:rsid w:val="00DE5EC5"/>
    <w:rsid w:val="00DF5653"/>
    <w:rsid w:val="00DF68BF"/>
    <w:rsid w:val="00DF709E"/>
    <w:rsid w:val="00DF7118"/>
    <w:rsid w:val="00E038C3"/>
    <w:rsid w:val="00E07DDD"/>
    <w:rsid w:val="00E116E7"/>
    <w:rsid w:val="00E24DE9"/>
    <w:rsid w:val="00E25B90"/>
    <w:rsid w:val="00E30F6F"/>
    <w:rsid w:val="00E37D77"/>
    <w:rsid w:val="00E40419"/>
    <w:rsid w:val="00E41689"/>
    <w:rsid w:val="00E42162"/>
    <w:rsid w:val="00E42AE4"/>
    <w:rsid w:val="00E442F4"/>
    <w:rsid w:val="00E473D9"/>
    <w:rsid w:val="00E47716"/>
    <w:rsid w:val="00E50179"/>
    <w:rsid w:val="00E5487A"/>
    <w:rsid w:val="00E572AD"/>
    <w:rsid w:val="00E7065A"/>
    <w:rsid w:val="00E723A3"/>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07955"/>
    <w:rsid w:val="00F123EC"/>
    <w:rsid w:val="00F12579"/>
    <w:rsid w:val="00F13D05"/>
    <w:rsid w:val="00F22275"/>
    <w:rsid w:val="00F244C5"/>
    <w:rsid w:val="00F34DCC"/>
    <w:rsid w:val="00F419BC"/>
    <w:rsid w:val="00F4221B"/>
    <w:rsid w:val="00F46372"/>
    <w:rsid w:val="00F526E2"/>
    <w:rsid w:val="00F56532"/>
    <w:rsid w:val="00F6215A"/>
    <w:rsid w:val="00F674D2"/>
    <w:rsid w:val="00F678DD"/>
    <w:rsid w:val="00F734D3"/>
    <w:rsid w:val="00F74E88"/>
    <w:rsid w:val="00F809BE"/>
    <w:rsid w:val="00F84966"/>
    <w:rsid w:val="00F9184D"/>
    <w:rsid w:val="00FB0EB4"/>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7A5F18"/>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87131B"/>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104F72"/>
    <w:pPr>
      <w:numPr>
        <w:ilvl w:val="3"/>
        <w:numId w:val="37"/>
      </w:numPr>
      <w:tabs>
        <w:tab w:val="right" w:leader="dot" w:pos="10080"/>
      </w:tabs>
      <w:ind w:right="144"/>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qFormat/>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5F18"/>
    <w:rPr>
      <w:rFonts w:ascii="Times New Roman Bold" w:hAnsi="Times New Roman Bold"/>
      <w:b/>
      <w:bCs/>
      <w:caps/>
      <w:sz w:val="20"/>
      <w:szCs w:val="20"/>
    </w:rPr>
  </w:style>
  <w:style w:type="character" w:customStyle="1" w:styleId="Heading2Char">
    <w:name w:val="Heading 2 Char"/>
    <w:basedOn w:val="DefaultParagraphFont"/>
    <w:link w:val="Heading2"/>
    <w:rsid w:val="0087131B"/>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104F72"/>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AD22C3"/>
    <w:rPr>
      <w:color w:val="605E5C"/>
      <w:shd w:val="clear" w:color="auto" w:fill="E1DFDD"/>
    </w:rPr>
  </w:style>
  <w:style w:type="table" w:styleId="TableGrid">
    <w:name w:val="Table Grid"/>
    <w:basedOn w:val="TableNormal"/>
    <w:uiPriority w:val="59"/>
    <w:rsid w:val="007A5F18"/>
    <w:pPr>
      <w:ind w:left="0" w:firstLine="0"/>
      <w:jc w:val="left"/>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079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7774">
      <w:bodyDiv w:val="1"/>
      <w:marLeft w:val="0"/>
      <w:marRight w:val="0"/>
      <w:marTop w:val="0"/>
      <w:marBottom w:val="0"/>
      <w:divBdr>
        <w:top w:val="none" w:sz="0" w:space="0" w:color="auto"/>
        <w:left w:val="none" w:sz="0" w:space="0" w:color="auto"/>
        <w:bottom w:val="none" w:sz="0" w:space="0" w:color="auto"/>
        <w:right w:val="none" w:sz="0" w:space="0" w:color="auto"/>
      </w:divBdr>
    </w:div>
    <w:div w:id="253781130">
      <w:bodyDiv w:val="1"/>
      <w:marLeft w:val="0"/>
      <w:marRight w:val="0"/>
      <w:marTop w:val="0"/>
      <w:marBottom w:val="0"/>
      <w:divBdr>
        <w:top w:val="none" w:sz="0" w:space="0" w:color="auto"/>
        <w:left w:val="none" w:sz="0" w:space="0" w:color="auto"/>
        <w:bottom w:val="none" w:sz="0" w:space="0" w:color="auto"/>
        <w:right w:val="none" w:sz="0" w:space="0" w:color="auto"/>
      </w:divBdr>
    </w:div>
    <w:div w:id="281805365">
      <w:bodyDiv w:val="1"/>
      <w:marLeft w:val="0"/>
      <w:marRight w:val="0"/>
      <w:marTop w:val="0"/>
      <w:marBottom w:val="0"/>
      <w:divBdr>
        <w:top w:val="none" w:sz="0" w:space="0" w:color="auto"/>
        <w:left w:val="none" w:sz="0" w:space="0" w:color="auto"/>
        <w:bottom w:val="none" w:sz="0" w:space="0" w:color="auto"/>
        <w:right w:val="none" w:sz="0" w:space="0" w:color="auto"/>
      </w:divBdr>
    </w:div>
    <w:div w:id="558588375">
      <w:bodyDiv w:val="1"/>
      <w:marLeft w:val="0"/>
      <w:marRight w:val="0"/>
      <w:marTop w:val="0"/>
      <w:marBottom w:val="0"/>
      <w:divBdr>
        <w:top w:val="none" w:sz="0" w:space="0" w:color="auto"/>
        <w:left w:val="none" w:sz="0" w:space="0" w:color="auto"/>
        <w:bottom w:val="none" w:sz="0" w:space="0" w:color="auto"/>
        <w:right w:val="none" w:sz="0" w:space="0" w:color="auto"/>
      </w:divBdr>
    </w:div>
    <w:div w:id="681052119">
      <w:bodyDiv w:val="1"/>
      <w:marLeft w:val="0"/>
      <w:marRight w:val="0"/>
      <w:marTop w:val="0"/>
      <w:marBottom w:val="0"/>
      <w:divBdr>
        <w:top w:val="none" w:sz="0" w:space="0" w:color="auto"/>
        <w:left w:val="none" w:sz="0" w:space="0" w:color="auto"/>
        <w:bottom w:val="none" w:sz="0" w:space="0" w:color="auto"/>
        <w:right w:val="none" w:sz="0" w:space="0" w:color="auto"/>
      </w:divBdr>
    </w:div>
    <w:div w:id="1314333525">
      <w:bodyDiv w:val="1"/>
      <w:marLeft w:val="0"/>
      <w:marRight w:val="0"/>
      <w:marTop w:val="0"/>
      <w:marBottom w:val="0"/>
      <w:divBdr>
        <w:top w:val="none" w:sz="0" w:space="0" w:color="auto"/>
        <w:left w:val="none" w:sz="0" w:space="0" w:color="auto"/>
        <w:bottom w:val="none" w:sz="0" w:space="0" w:color="auto"/>
        <w:right w:val="none" w:sz="0" w:space="0" w:color="auto"/>
      </w:divBdr>
    </w:div>
    <w:div w:id="1392540636">
      <w:bodyDiv w:val="1"/>
      <w:marLeft w:val="0"/>
      <w:marRight w:val="0"/>
      <w:marTop w:val="0"/>
      <w:marBottom w:val="0"/>
      <w:divBdr>
        <w:top w:val="none" w:sz="0" w:space="0" w:color="auto"/>
        <w:left w:val="none" w:sz="0" w:space="0" w:color="auto"/>
        <w:bottom w:val="none" w:sz="0" w:space="0" w:color="auto"/>
        <w:right w:val="none" w:sz="0" w:space="0" w:color="auto"/>
      </w:divBdr>
    </w:div>
    <w:div w:id="182643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841</TotalTime>
  <Pages>8</Pages>
  <Words>3259</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Nancy G. Feser</cp:lastModifiedBy>
  <cp:revision>129</cp:revision>
  <cp:lastPrinted>2021-03-03T00:07:00Z</cp:lastPrinted>
  <dcterms:created xsi:type="dcterms:W3CDTF">2021-09-22T15:01:00Z</dcterms:created>
  <dcterms:modified xsi:type="dcterms:W3CDTF">2024-02-07T17:54:00Z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