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Secure AI Assistants for Legal Data Analysis: A Systematic Review of Legal-LLM Capability, Privacy-Preserving Retrieval, Agentic Security, and Applied Systems</w:t>
      </w:r>
    </w:p>
    <w:p>
      <w:pPr>
        <w:spacing w:after="60"/>
        <w:jc w:val="center"/>
      </w:pPr>
      <w:r>
        <w:rPr>
          <w:rFonts w:ascii="Times New Roman" w:cs="Times New Roman" w:eastAsia="Times New Roman" w:hAnsi="Times New Roman"/>
          <w:sz w:val="24"/>
          <w:szCs w:val="24"/>
        </w:rPr>
        <w:t xml:space="preserve">Ayush Agrawal, Vanshika Dhall, Akshay Pandey, Gopal Agarwal</w:t>
      </w:r>
    </w:p>
    <w:p>
      <w:pPr>
        <w:spacing w:after="60"/>
        <w:jc w:val="center"/>
      </w:pPr>
      <w:r>
        <w:rPr>
          <w:rFonts w:ascii="Times New Roman" w:cs="Times New Roman" w:eastAsia="Times New Roman" w:hAnsi="Times New Roman"/>
          <w:i/>
          <w:iCs/>
          <w:sz w:val="22"/>
          <w:szCs w:val="22"/>
        </w:rPr>
        <w:t xml:space="preserve">School of Computer Science and Engineering, IILM University, Greater Noida</w:t>
      </w:r>
    </w:p>
    <w:p>
      <w:pPr>
        <w:spacing w:after="300"/>
        <w:jc w:val="center"/>
      </w:pPr>
      <w:r>
        <w:rPr>
          <w:rFonts w:ascii="Times New Roman" w:cs="Times New Roman" w:eastAsia="Times New Roman" w:hAnsi="Times New Roman"/>
          <w:i/>
          <w:iCs/>
          <w:sz w:val="22"/>
          <w:szCs w:val="22"/>
        </w:rPr>
        <w:t xml:space="preserve">Guide: Dr. Nayantara Kotokky</w:t>
      </w:r>
    </w:p>
    <w:p>
      <w:pPr>
        <w:spacing w:after="100" w:before="100"/>
      </w:pPr>
      <w:r>
        <w:rPr>
          <w:rFonts w:ascii="Times New Roman" w:cs="Times New Roman" w:eastAsia="Times New Roman" w:hAnsi="Times New Roman"/>
          <w:b/>
          <w:bCs/>
          <w:sz w:val="26"/>
          <w:szCs w:val="26"/>
        </w:rPr>
        <w:t xml:space="preserve">Abstract</w:t>
      </w:r>
    </w:p>
    <w:p>
      <w:pPr>
        <w:spacing w:after="200" w:line="300"/>
        <w:jc w:val="both"/>
      </w:pPr>
      <w:r>
        <w:rPr>
          <w:rFonts w:ascii="Times New Roman" w:cs="Times New Roman" w:eastAsia="Times New Roman" w:hAnsi="Times New Roman"/>
          <w:i w:val="false"/>
          <w:iCs w:val="false"/>
          <w:sz w:val="24"/>
          <w:szCs w:val="24"/>
        </w:rPr>
        <w:t xml:space="preserve">Legal practice is one of the more unusual candidates for large language model adoption, because the cost of a confident but wrong answer is not merely inconvenience but potential professional liability, and because the underlying data — client files, case histories, internal notes — is protected by confidentiality obligations that most AI systems were never designed to respect. This paper reviews 32 peer-reviewed and preprint sources published mostly between 2022 and 2026, spanning legal natural language processing, privacy-preserving retrieval-augmented generation (RAG), security of LLM-based agents, legal anonymization and benchmark datasets, and applied legal-assistant systems reported in recent practitioner literature. Rather than treating these as separate literatures, we read them against each other, and a consistent pattern falls out: work that makes legal AI assistants more accurate and useful almost never asks who is allowed to use them or what happens to the data they touch, while work that makes retrieval and generation more private or more secure is almost never tested on the kind of multi-party, privilege-bound documents that actual legal practice produces. The one paper that comes close to bridging the two — a federated-learning approach to privacy-preserving legal RAG — could not be fully verified for authorship in our search and is discussed only tentatively. Building on this gap, we outline a design direction: an assistant that gates full, case-specific reasoning behind a verified legal credential (a Bar Council certificate) and answers to the credentialed tier through a small, potentially self-hosted language model rather than a large third-party API, while the general public receives only generic, non-advisory answers through a standard LLM. We argue this is a modest but genuinely under-explored way to close the gap the review identifies.</w:t>
      </w:r>
    </w:p>
    <w:p>
      <w:pPr>
        <w:spacing w:after="260" w:before="4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legal AI, retrieval-augmented generation, privacy-preserving NLP, prompt injection, legal judgment prediction, small language models, access control</w:t>
      </w:r>
    </w:p>
    <w:p>
      <w:pPr>
        <w:pStyle w:val="Heading1"/>
        <w:spacing w:after="160" w:before="300"/>
      </w:pPr>
      <w:r>
        <w:rPr>
          <w:rFonts w:ascii="Times New Roman" w:cs="Times New Roman" w:eastAsia="Times New Roman" w:hAnsi="Times New Roman"/>
          <w:b/>
          <w:bCs/>
          <w:sz w:val="28"/>
          <w:szCs w:val="28"/>
        </w:rPr>
        <w:t xml:space="preserve">1. Introduction</w:t>
      </w:r>
    </w:p>
    <w:p>
      <w:pPr>
        <w:spacing w:after="200" w:line="300"/>
        <w:jc w:val="both"/>
      </w:pPr>
      <w:r>
        <w:rPr>
          <w:rFonts w:ascii="Times New Roman" w:cs="Times New Roman" w:eastAsia="Times New Roman" w:hAnsi="Times New Roman"/>
          <w:i w:val="false"/>
          <w:iCs w:val="false"/>
          <w:sz w:val="24"/>
          <w:szCs w:val="24"/>
        </w:rPr>
        <w:t xml:space="preserve">Ask a lawyer what they actually want from an AI tool and the answer is rarely “creativity.” It is closer to: find the relevant precedent, tell me how similar cases turned out, and do not make anything up. This is a harder ask than it sounds. Large language models are fluent by design, and fluency is exactly what makes a hallucinated citation dangerous — it reads as confidently as a real one. Dahl et al. [5] measured this directly and found hallucination rates on verifiable legal facts running as high as 58–88% across several widely used models, a figure that should give anyone pause before pointing an off-the-shelf chatbot at case law.</w:t>
      </w:r>
    </w:p>
    <w:p>
      <w:pPr>
        <w:spacing w:after="200" w:line="300"/>
        <w:jc w:val="both"/>
      </w:pPr>
      <w:r>
        <w:rPr>
          <w:rFonts w:ascii="Times New Roman" w:cs="Times New Roman" w:eastAsia="Times New Roman" w:hAnsi="Times New Roman"/>
          <w:i w:val="false"/>
          <w:iCs w:val="false"/>
          <w:sz w:val="24"/>
          <w:szCs w:val="24"/>
        </w:rPr>
        <w:t xml:space="preserve">Retrieval-augmented generation was supposed to fix this by grounding the model's output in retrieved text rather than its parametric memory, and it helps, but not as much as the marketing suggests. Magesh et al. [22], working with Stanford's RegLab, tested several commercial, RAG-based legal research products and found that hallucinated or misgrounded citations persisted even in these closed, purpose-built systems. So accuracy remains an open problem. But there is a second problem that gets far less attention in the legal-AI literature: almost none of these systems ask who the user is, or what should happen to the sensitive text a lawyer pastes into the chat window. A contract review assistant that will read anyone's merger agreement is, from a security standpoint, a fairly alarming piece of software once you consider what merger agreements contain.</w:t>
      </w:r>
    </w:p>
    <w:p>
      <w:pPr>
        <w:spacing w:after="200" w:line="300"/>
        <w:jc w:val="both"/>
      </w:pPr>
      <w:r>
        <w:rPr>
          <w:rFonts w:ascii="Times New Roman" w:cs="Times New Roman" w:eastAsia="Times New Roman" w:hAnsi="Times New Roman"/>
          <w:i w:val="false"/>
          <w:iCs w:val="false"/>
          <w:sz w:val="24"/>
          <w:szCs w:val="24"/>
        </w:rPr>
        <w:t xml:space="preserve">This review was carried out as the literature-survey phase of a student project on a secure AI assistant for legal data analysis, but we have tried to write it as a standalone account of where the field currently stands rather than as a justification for a particular design. We looked across four loosely connected research threads — legal-domain language model capability, privacy-preserving retrieval, security of LLM agents and pipelines, and applied legal-assistant engineering — and found that they barely cite each other. Section 2 describes how we selected the 32 sources discussed here. Sections 3 through 8 walk through each thread. Section 9 puts them side by side and names the gap that emerges. Section 10 sketches a design direction that follows from that gap, and Section 11 concludes.</w:t>
      </w:r>
    </w:p>
    <w:p>
      <w:pPr>
        <w:pStyle w:val="Heading1"/>
        <w:spacing w:after="160" w:before="300"/>
      </w:pPr>
      <w:r>
        <w:rPr>
          <w:rFonts w:ascii="Times New Roman" w:cs="Times New Roman" w:eastAsia="Times New Roman" w:hAnsi="Times New Roman"/>
          <w:b/>
          <w:bCs/>
          <w:sz w:val="28"/>
          <w:szCs w:val="28"/>
        </w:rPr>
        <w:t xml:space="preserve">2. Review Methodology</w:t>
      </w:r>
    </w:p>
    <w:p>
      <w:pPr>
        <w:spacing w:after="200" w:line="300"/>
        <w:jc w:val="both"/>
      </w:pPr>
      <w:r>
        <w:rPr>
          <w:rFonts w:ascii="Times New Roman" w:cs="Times New Roman" w:eastAsia="Times New Roman" w:hAnsi="Times New Roman"/>
          <w:i w:val="false"/>
          <w:iCs w:val="false"/>
          <w:sz w:val="24"/>
          <w:szCs w:val="24"/>
        </w:rPr>
        <w:t xml:space="preserve">We began with an initial pool of 37 candidate papers, gathered through iterative web and academic search (arXiv, ACL Anthology, ScienceDirect, Nature, and general search engines) using combinations of terms such as “legal LLM,” “privacy-preserving RAG,” “prompt injection agent security,” “legal anonymization,” and “legal judgment prediction.” We favored recency — the great majority of sources are from 2023 onward — since both LLM capability and LLM security are fields where a 2019 finding may simply no longer describe how current models behave.</w:t>
      </w:r>
    </w:p>
    <w:p>
      <w:pPr>
        <w:spacing w:after="200" w:line="300"/>
        <w:jc w:val="both"/>
      </w:pPr>
      <w:r>
        <w:rPr>
          <w:rFonts w:ascii="Times New Roman" w:cs="Times New Roman" w:eastAsia="Times New Roman" w:hAnsi="Times New Roman"/>
          <w:i w:val="false"/>
          <w:iCs w:val="false"/>
          <w:sz w:val="24"/>
          <w:szCs w:val="24"/>
        </w:rPr>
        <w:t xml:space="preserve">Every candidate was checked for two things before inclusion: a confirmable set of author names and a locatable source (a journal, a conference proceedings entry, or an arXiv identifier). Thirty-two of the 37 satisfied both conditions at the time of writing and form the reference list in Section 12. The remaining five — an AI-based legal attestation tool, a legal-document summarization pipeline, an access-to-justice chatbot, and one federated-learning paper on privacy-preserving legal RAG that would otherwise have been directly relevant — are mentioned narratively where they inform the discussion, but are not formally cited, since we were unable to confirm their authorship independently. We regard this as a limitation of our search rather than a claim that these works do not exist or are not credible; a reader with institutional database access may well be able to resolve them.</w:t>
      </w:r>
    </w:p>
    <w:p>
      <w:pPr>
        <w:spacing w:after="200" w:line="300"/>
        <w:jc w:val="both"/>
      </w:pPr>
      <w:r>
        <w:rPr>
          <w:rFonts w:ascii="Times New Roman" w:cs="Times New Roman" w:eastAsia="Times New Roman" w:hAnsi="Times New Roman"/>
          <w:i w:val="false"/>
          <w:iCs w:val="false"/>
          <w:sz w:val="24"/>
          <w:szCs w:val="24"/>
        </w:rPr>
        <w:t xml:space="preserve">We grouped the 32 confirmed sources into seven clusters based on their primary contribution rather than their venue: legal-LLM capability, privacy-preserving RAG, agentic and LLM security, legal judgment prediction and anonymization, applied legal-assistant systems, sovereign or governed RAG, and AI–blockchain security. The grouping is inevitably a little rough at the edges — a paper on federated RAG for legal data, for instance, sits at the intersection of at least two of these clusters — but it proved useful for surfacing the pattern discussed in Section 9.</w:t>
      </w:r>
    </w:p>
    <w:p>
      <w:pPr>
        <w:pStyle w:val="Heading1"/>
        <w:spacing w:after="160" w:before="300"/>
      </w:pPr>
      <w:r>
        <w:rPr>
          <w:rFonts w:ascii="Times New Roman" w:cs="Times New Roman" w:eastAsia="Times New Roman" w:hAnsi="Times New Roman"/>
          <w:b/>
          <w:bCs/>
          <w:sz w:val="28"/>
          <w:szCs w:val="28"/>
        </w:rPr>
        <w:t xml:space="preserve">3. Legal-LLM Capability and the Hallucination Problem</w:t>
      </w:r>
    </w:p>
    <w:p>
      <w:pPr>
        <w:spacing w:after="200" w:line="300"/>
        <w:jc w:val="both"/>
      </w:pPr>
      <w:r>
        <w:rPr>
          <w:rFonts w:ascii="Times New Roman" w:cs="Times New Roman" w:eastAsia="Times New Roman" w:hAnsi="Times New Roman"/>
          <w:i w:val="false"/>
          <w:iCs w:val="false"/>
          <w:sz w:val="24"/>
          <w:szCs w:val="24"/>
        </w:rPr>
        <w:t xml:space="preserve">The first cluster asks a simple question: how good are LLMs actually at legal tasks, and where do they fail? Louis, van Dijck, and Spanakis [21] built LLeQA, a retrieval-augmented system for long-form legal question answering evaluated on French statutory law, and found that grounding the model's answer in retrieved statutory text improved factual quality but did not fully solve the problem of matching the right statute to the right question — the retrieval step itself remains error-prone. Ariai, Mackenzie, and Demartini [2] surveyed the wider field and catalogued sixteen open challenges across legal summarization, question answering, and classification, several of which (scarce annotated data, long-document handling, model bias) recur throughout the papers we reviewed.</w:t>
      </w:r>
    </w:p>
    <w:p>
      <w:pPr>
        <w:spacing w:after="200" w:line="300"/>
        <w:jc w:val="both"/>
      </w:pPr>
      <w:r>
        <w:rPr>
          <w:rFonts w:ascii="Times New Roman" w:cs="Times New Roman" w:eastAsia="Times New Roman" w:hAnsi="Times New Roman"/>
          <w:i w:val="false"/>
          <w:iCs w:val="false"/>
          <w:sz w:val="24"/>
          <w:szCs w:val="24"/>
        </w:rPr>
        <w:t xml:space="preserve">Two further surveys extend this picture. Dehghani et al. [8], writing in Humanities and Social Sciences Communications, reviewed LLM use across legal drafting, research, and education and concluded, somewhat bluntly, that current models are not yet suitable for unsupervised legal summarization — a human still needs to check the output. Hou et al. [16] took a more technical angle, cataloguing domain-specific legal LLMs such as LawGPT and ChatLaw and noting that nearly all of them rely on some form of vector-database retrieval to reduce hallucination, though none of the systems they surveyed publish a threat model for that vector store.</w:t>
      </w:r>
    </w:p>
    <w:p>
      <w:pPr>
        <w:spacing w:after="200" w:line="300"/>
        <w:jc w:val="both"/>
      </w:pPr>
      <w:r>
        <w:rPr>
          <w:rFonts w:ascii="Times New Roman" w:cs="Times New Roman" w:eastAsia="Times New Roman" w:hAnsi="Times New Roman"/>
          <w:i w:val="false"/>
          <w:iCs w:val="false"/>
          <w:sz w:val="24"/>
          <w:szCs w:val="24"/>
        </w:rPr>
        <w:t xml:space="preserve">The hallucination question itself is examined most directly by Dahl et al. [5], whose audit of over 800,000 queries across GPT-4, GPT-3.5, PaLM-2, and Llama-2 remains, to our knowledge, the largest empirical study of its kind in the legal domain, and by Magesh et al. [22], whose finding that commercial RAG-based legal research tools still hallucinate is arguably the more troubling result precisely because these are systems already marketed as solving the problem. Taken together, this cluster establishes that legal-domain accuracy is measured seriously and reported honestly, which is reassuring, but also that none of these papers ask what happens to the query or the retrieved documents once the answer is generated — confidentiality simply is not part of the evaluation.</w:t>
      </w:r>
    </w:p>
    <w:p>
      <w:pPr>
        <w:pStyle w:val="Heading1"/>
        <w:spacing w:after="160" w:before="300"/>
      </w:pPr>
      <w:r>
        <w:rPr>
          <w:rFonts w:ascii="Times New Roman" w:cs="Times New Roman" w:eastAsia="Times New Roman" w:hAnsi="Times New Roman"/>
          <w:b/>
          <w:bCs/>
          <w:sz w:val="28"/>
          <w:szCs w:val="28"/>
        </w:rPr>
        <w:t xml:space="preserve">4. Privacy-Preserving Retrieval-Augmented Generation</w:t>
      </w:r>
    </w:p>
    <w:p>
      <w:pPr>
        <w:spacing w:after="200" w:line="300"/>
        <w:jc w:val="both"/>
      </w:pPr>
      <w:r>
        <w:rPr>
          <w:rFonts w:ascii="Times New Roman" w:cs="Times New Roman" w:eastAsia="Times New Roman" w:hAnsi="Times New Roman"/>
          <w:i w:val="false"/>
          <w:iCs w:val="false"/>
          <w:sz w:val="24"/>
          <w:szCs w:val="24"/>
        </w:rPr>
        <w:t xml:space="preserve">The second cluster moves from accuracy to confidentiality. A recurring idea here is to keep the raw sensitive text away from whichever model actually does the generation, especially when that model is a third-party API. Almohaimeed et al. [1] concealed sensitive entities from an external LLM through entity replacement combined with parameter-efficient fine-tuning, while Grislain [14] applied formal differential privacy to the RAG generation step itself, explicitly naming legal case archives as a target use case — a detail we found notable, since it suggests the privacy-preserving-NLP community is already aware that legal data is a natural stress test for these methods.</w:t>
      </w:r>
    </w:p>
    <w:p>
      <w:pPr>
        <w:spacing w:after="200" w:line="300"/>
        <w:jc w:val="both"/>
      </w:pPr>
      <w:r>
        <w:rPr>
          <w:rFonts w:ascii="Times New Roman" w:cs="Times New Roman" w:eastAsia="Times New Roman" w:hAnsi="Times New Roman"/>
          <w:i w:val="false"/>
          <w:iCs w:val="false"/>
          <w:sz w:val="24"/>
          <w:szCs w:val="24"/>
        </w:rPr>
        <w:t xml:space="preserve">Grislain's own framing, though, exposes a limitation that recurs across this cluster: the privacy guarantee is built around a one-document-to-one-individual assumption that simply does not hold for case files, depositions, or contracts, all of which routinely name several parties, witnesses, and counsel in a single document. Li et al. [19] sidestepped noise-based privacy altogether with PRAG, an encryption-based approach that avoids the usual accuracy cost of differential privacy, but confidentiality in their scheme is binary — a document is either encrypted or not — with no notion of graded access for, say, a paralegal versus a partner. He et al. [15] and Qian et al. [24] each proposed more fine-grained alternatives — entity-level local differential privacy and federated retrieval across heterogeneous data sources, respectively — but neither was evaluated on citation-heavy legal text, where perturbing something as small as a case number or a statute section can silently change the meaning of the retrieved passage rather than just anonymizing it.</w:t>
      </w:r>
    </w:p>
    <w:p>
      <w:pPr>
        <w:spacing w:after="200" w:line="300"/>
        <w:jc w:val="both"/>
      </w:pPr>
      <w:r>
        <w:rPr>
          <w:rFonts w:ascii="Times New Roman" w:cs="Times New Roman" w:eastAsia="Times New Roman" w:hAnsi="Times New Roman"/>
          <w:i w:val="false"/>
          <w:iCs w:val="false"/>
          <w:sz w:val="24"/>
          <w:szCs w:val="24"/>
        </w:rPr>
        <w:t xml:space="preserve">Perhaps the most sobering finding in this cluster comes from Zeng et al. [32], published at ACL Findings, who showed empirically that RAG systems can be induced — through fairly simple “repeat the context” style prompts — to leak the verbatim retrieved passage back to the user, regardless of the privacy technique applied upstream. For a legal assistant retrieving privileged material, this is close to a worst-case scenario, and none of the mitigations proposed elsewhere in this cluster are tested against it directly.</w:t>
      </w:r>
    </w:p>
    <w:p>
      <w:pPr>
        <w:pStyle w:val="Heading1"/>
        <w:spacing w:after="160" w:before="300"/>
      </w:pPr>
      <w:r>
        <w:rPr>
          <w:rFonts w:ascii="Times New Roman" w:cs="Times New Roman" w:eastAsia="Times New Roman" w:hAnsi="Times New Roman"/>
          <w:b/>
          <w:bCs/>
          <w:sz w:val="28"/>
          <w:szCs w:val="28"/>
        </w:rPr>
        <w:t xml:space="preserve">5. Security of LLM Agents and Pipelines</w:t>
      </w:r>
    </w:p>
    <w:p>
      <w:pPr>
        <w:spacing w:after="200" w:line="300"/>
        <w:jc w:val="both"/>
      </w:pPr>
      <w:r>
        <w:rPr>
          <w:rFonts w:ascii="Times New Roman" w:cs="Times New Roman" w:eastAsia="Times New Roman" w:hAnsi="Times New Roman"/>
          <w:i w:val="false"/>
          <w:iCs w:val="false"/>
          <w:sz w:val="24"/>
          <w:szCs w:val="24"/>
        </w:rPr>
        <w:t xml:space="preserve">Cluster three turns to security in the narrower, adversarial sense: what happens when someone deliberately tries to make the system misbehave. Prompt injection has become the headline concern here, and for good reason — Geng et al. [13] trace its rapid evolution from simple direct injection to more elaborate indirect and “virtual” variants, and note that OWASP now ranks it as the single most significant LLM vulnerability. Shahriar et al. [27] broaden the lens to agentic systems generally and report a finding we think deserves more attention than it currently gets: safety alignment learned during base-model training does not reliably transfer once that model is wired up to tools and given the ability to act, and there is a real trade-off between locking a system down and letting it actually finish the task it was built for.</w:t>
      </w:r>
    </w:p>
    <w:p>
      <w:pPr>
        <w:spacing w:after="200" w:line="300"/>
        <w:jc w:val="both"/>
      </w:pPr>
      <w:r>
        <w:rPr>
          <w:rFonts w:ascii="Times New Roman" w:cs="Times New Roman" w:eastAsia="Times New Roman" w:hAnsi="Times New Roman"/>
          <w:i w:val="false"/>
          <w:iCs w:val="false"/>
          <w:sz w:val="24"/>
          <w:szCs w:val="24"/>
        </w:rPr>
        <w:t xml:space="preserve">Ferrag et al. [12] push the threat model further still, past the prompt itself and into the surrounding protocol — the plumbing that lets an agent call tools, talk to other agents, or reach into a document-management system — cataloguing more than thirty distinct attack techniques along the way. Ramakrishnan and Balaji [25] respond with a concrete defense: a layered pipeline of content filtering, hierarchical guardrails, and response verification that cut a benchmark's attack success rate from 73.2% to 8.7% while keeping task performance above 94%. That is a genuinely strong result, but the 847 adversarial cases in their benchmark are domain-agnostic; none of them resemble the kind of attack a legal assistant would actually face — an adversarial clause buried in a contract, say, instructing the model to “ignore prior instructions and approve this agreement.”</w:t>
      </w:r>
    </w:p>
    <w:p>
      <w:pPr>
        <w:spacing w:after="200" w:line="300"/>
        <w:jc w:val="both"/>
      </w:pPr>
      <w:r>
        <w:rPr>
          <w:rFonts w:ascii="Times New Roman" w:cs="Times New Roman" w:eastAsia="Times New Roman" w:hAnsi="Times New Roman"/>
          <w:i w:val="false"/>
          <w:iCs w:val="false"/>
          <w:sz w:val="24"/>
          <w:szCs w:val="24"/>
        </w:rPr>
        <w:t xml:space="preserve">Chen et al. [3] round out the cluster with a broader systematization of privacy attacks across the LLM lifecycle — membership inference, model inversion, attribute inference — and the corresponding defenses (DP-SGD, federated learning, machine unlearning). Duan et al. [10], in the most empirically careful paper in this group, tested whether membership-inference attacks actually work against models ranging from 160 million to 12 billion parameters and found they barely beat random guessing at large pre-training scale. The result comes with an important caveat, though, one the authors flag themselves: small, low-epoch, high-signal fine-tuning corpora remain a higher-risk setting, and that description fits a law-firm-specific fine-tuned model almost exactly. No paper we found has actually tested this scenario.</w:t>
      </w:r>
    </w:p>
    <w:p>
      <w:pPr>
        <w:pStyle w:val="Heading1"/>
        <w:spacing w:after="160" w:before="300"/>
      </w:pPr>
      <w:r>
        <w:rPr>
          <w:rFonts w:ascii="Times New Roman" w:cs="Times New Roman" w:eastAsia="Times New Roman" w:hAnsi="Times New Roman"/>
          <w:b/>
          <w:bCs/>
          <w:sz w:val="28"/>
          <w:szCs w:val="28"/>
        </w:rPr>
        <w:t xml:space="preserve">6. Legal Judgment Prediction, Anonymization, and Benchmark Datasets</w:t>
      </w:r>
    </w:p>
    <w:p>
      <w:pPr>
        <w:spacing w:after="200" w:line="300"/>
        <w:jc w:val="both"/>
      </w:pPr>
      <w:r>
        <w:rPr>
          <w:rFonts w:ascii="Times New Roman" w:cs="Times New Roman" w:eastAsia="Times New Roman" w:hAnsi="Times New Roman"/>
          <w:i w:val="false"/>
          <w:iCs w:val="false"/>
          <w:sz w:val="24"/>
          <w:szCs w:val="24"/>
        </w:rPr>
        <w:t xml:space="preserve">The fourth cluster is a slightly more mixed bag, united mainly by its concern with specific legal-document tasks rather than general LLM behavior. On the anonymization side, Karamitsos et al. [17] fine-tuned a BERT-based model on over 1,500 annotated court cases and achieved above 99% F1 on legal named-entity recognition for anonymization purposes, and Salierno et al. [26] built a similar system, GiusBERTo, for Italian court decisions under GDPR. Deußer et al. [9] surveyed the anonymization field more broadly and reported something worth dwelling on: LLM-based re-identification attacks against “well-anonymized” Swiss court decisions currently succeed at a low rate, but the authors flag this as a risk that is likely to grow, and their own tool, RedactBuster, demonstrates that surrounding context alone can sometimes reconstruct a redacted entity.</w:t>
      </w:r>
    </w:p>
    <w:p>
      <w:pPr>
        <w:spacing w:after="200" w:line="300"/>
        <w:jc w:val="both"/>
      </w:pPr>
      <w:r>
        <w:rPr>
          <w:rFonts w:ascii="Times New Roman" w:cs="Times New Roman" w:eastAsia="Times New Roman" w:hAnsi="Times New Roman"/>
          <w:i w:val="false"/>
          <w:iCs w:val="false"/>
          <w:sz w:val="24"/>
          <w:szCs w:val="24"/>
        </w:rPr>
        <w:t xml:space="preserve">On the benchmark side, Wang et al. [30] released MAUD, an expert-annotated dataset of merger-agreement questions in the tradition of CUAD-style contract review benchmarks, and Liu et al. [20] built ContractEval to test clause-level legal risk identification across both open and closed LLMs, finding a meaningful gap in favor of the proprietary models — which is itself an uncomfortable result, since the models that perform best are also the ones that require sending the contract text to a third-party API.</w:t>
      </w:r>
    </w:p>
    <w:p>
      <w:pPr>
        <w:spacing w:after="200" w:line="300"/>
        <w:jc w:val="both"/>
      </w:pPr>
      <w:r>
        <w:rPr>
          <w:rFonts w:ascii="Times New Roman" w:cs="Times New Roman" w:eastAsia="Times New Roman" w:hAnsi="Times New Roman"/>
          <w:i w:val="false"/>
          <w:iCs w:val="false"/>
          <w:sz w:val="24"/>
          <w:szCs w:val="24"/>
        </w:rPr>
        <w:t xml:space="preserve">Cui et al. [4] close the cluster with a survey of legal judgment prediction spanning 31 datasets across six languages, covering both introspective and justification-based explainability approaches. Their review illustrates a pattern we saw repeatedly across the whole corpus: explainability research in this space is entirely occupied with why a model produced a given prediction, and never once with whether the case data behind that prediction was accessed, stored, or transmitted securely. Accuracy research and security research, in other words, have been developed as if they belong to different fields, even when they are analyzing the exact same documents.</w:t>
      </w:r>
    </w:p>
    <w:p>
      <w:pPr>
        <w:pStyle w:val="Heading1"/>
        <w:spacing w:after="160" w:before="300"/>
      </w:pPr>
      <w:r>
        <w:rPr>
          <w:rFonts w:ascii="Times New Roman" w:cs="Times New Roman" w:eastAsia="Times New Roman" w:hAnsi="Times New Roman"/>
          <w:b/>
          <w:bCs/>
          <w:sz w:val="28"/>
          <w:szCs w:val="28"/>
        </w:rPr>
        <w:t xml:space="preserve">7. Applied Legal-Assistant Systems in Practice</w:t>
      </w:r>
    </w:p>
    <w:p>
      <w:pPr>
        <w:spacing w:after="200" w:line="300"/>
        <w:jc w:val="both"/>
      </w:pPr>
      <w:r>
        <w:rPr>
          <w:rFonts w:ascii="Times New Roman" w:cs="Times New Roman" w:eastAsia="Times New Roman" w:hAnsi="Times New Roman"/>
          <w:i w:val="false"/>
          <w:iCs w:val="false"/>
          <w:sz w:val="24"/>
          <w:szCs w:val="24"/>
        </w:rPr>
        <w:t xml:space="preserve">The fifth cluster is where the abstractions of the previous four sections meet actual, working software, and it is also where the gap this review is building toward becomes hardest to ignore. Davenport [7] describes a chain-of-thought, hierarchical-segmentation pipeline for analyzing long legal contracts that handles the token-limit problem elegantly and improves both accuracy and context preservation — but the paper's notion of “risk mitigation” is entirely about the risk of a wrong summary, not the risk of an unauthorized reader. Shekhawat et al. [28] describe a GPT-3.5-based legal documentation assistant built for the Indian market, again with no described security architecture for the data passing through it or the documents it produces.</w:t>
      </w:r>
    </w:p>
    <w:p>
      <w:pPr>
        <w:spacing w:after="200" w:line="300"/>
        <w:jc w:val="both"/>
      </w:pPr>
      <w:r>
        <w:rPr>
          <w:rFonts w:ascii="Times New Roman" w:cs="Times New Roman" w:eastAsia="Times New Roman" w:hAnsi="Times New Roman"/>
          <w:i w:val="false"/>
          <w:iCs w:val="false"/>
          <w:sz w:val="24"/>
          <w:szCs w:val="24"/>
        </w:rPr>
        <w:t xml:space="preserve">Kumar et al. [18], Pavate et al. [23], and Davane et al. [6] each describe broadly similar systems — accessibility-focused document processing, generative drafting assistants, and a review-and-risk-analysis tool respectively — and the pattern across all five of these applied papers is remarkably consistent. Every one of them is evaluated purely on whether the output is useful: does the drafted clause read correctly, does the summary capture the key terms, does the chatbot answer the question. Not one of them mentions encryption, role-based access, prompt-injection defense, or any notion of verifying who the user actually is before handing them a fully capable legal assistant. If Section 9's argument needs a single piece of supporting evidence, this cluster is it.</w:t>
      </w:r>
    </w:p>
    <w:p>
      <w:pPr>
        <w:pStyle w:val="Heading1"/>
        <w:spacing w:after="160" w:before="300"/>
      </w:pPr>
      <w:r>
        <w:rPr>
          <w:rFonts w:ascii="Times New Roman" w:cs="Times New Roman" w:eastAsia="Times New Roman" w:hAnsi="Times New Roman"/>
          <w:b/>
          <w:bCs/>
          <w:sz w:val="28"/>
          <w:szCs w:val="28"/>
        </w:rPr>
        <w:t xml:space="preserve">8. Governed RAG and Blockchain-Backed Security</w:t>
      </w:r>
    </w:p>
    <w:p>
      <w:pPr>
        <w:spacing w:after="200" w:line="300"/>
        <w:jc w:val="both"/>
      </w:pPr>
      <w:r>
        <w:rPr>
          <w:rFonts w:ascii="Times New Roman" w:cs="Times New Roman" w:eastAsia="Times New Roman" w:hAnsi="Times New Roman"/>
          <w:i w:val="false"/>
          <w:iCs w:val="false"/>
          <w:sz w:val="24"/>
          <w:szCs w:val="24"/>
        </w:rPr>
        <w:t xml:space="preserve">The final two clusters are smaller but each contributes something the others miss. El Mghari, Benlahbib, and Ettahiri [11] propose a “sovereign AI” framework for regulatory knowledge management in public administration, built around RAG, and this is conceptually the closest published match to a secure legal assistant that we encountered anywhere in the literature. But “sovereignty” here operates at the level of jurisdiction and vendor independence for government use — keeping data within national infrastructure and out of foreign cloud providers — rather than at the level of an individual professional's credentials or a specific case's privilege status, which is the granularity legal practice actually needs.</w:t>
      </w:r>
    </w:p>
    <w:p>
      <w:pPr>
        <w:spacing w:after="200" w:line="300"/>
        <w:jc w:val="both"/>
      </w:pPr>
      <w:r>
        <w:rPr>
          <w:rFonts w:ascii="Times New Roman" w:cs="Times New Roman" w:eastAsia="Times New Roman" w:hAnsi="Times New Roman"/>
          <w:i w:val="false"/>
          <w:iCs w:val="false"/>
          <w:sz w:val="24"/>
          <w:szCs w:val="24"/>
        </w:rPr>
        <w:t xml:space="preserve">Tanwar, Kumar, and Sharma [29] provide a broad and, at 64 citations, genuinely influential survey on integrating blockchain with AI for security and regulatory purposes. It is not legal-specific, but it offers a well-established technical justification for one design choice we return to in Section 10: using blockchain-style, tamper-evident logging rather than an ordinary database log wherever an AI system's actions need to survive an audit.</w:t>
      </w:r>
    </w:p>
    <w:p>
      <w:pPr>
        <w:pStyle w:val="Heading1"/>
        <w:spacing w:after="160" w:before="300"/>
      </w:pPr>
      <w:r>
        <w:rPr>
          <w:rFonts w:ascii="Times New Roman" w:cs="Times New Roman" w:eastAsia="Times New Roman" w:hAnsi="Times New Roman"/>
          <w:b/>
          <w:bCs/>
          <w:sz w:val="28"/>
          <w:szCs w:val="28"/>
        </w:rPr>
        <w:t xml:space="preserve">9. Discussion: The Common Gap Across the Literature</w:t>
      </w:r>
    </w:p>
    <w:p>
      <w:pPr>
        <w:spacing w:after="200" w:line="300"/>
        <w:jc w:val="both"/>
      </w:pPr>
      <w:r>
        <w:rPr>
          <w:rFonts w:ascii="Times New Roman" w:cs="Times New Roman" w:eastAsia="Times New Roman" w:hAnsi="Times New Roman"/>
          <w:i w:val="false"/>
          <w:iCs w:val="false"/>
          <w:sz w:val="24"/>
          <w:szCs w:val="24"/>
        </w:rPr>
        <w:t xml:space="preserve">Read individually, none of these 32 papers is doing anything wrong. Each answers the question it set out to answer, and several of them — Dahl et al.'s hallucination audit, Zeng et al.'s leakage demonstration, Duan et al.'s membership-inference study — are careful, well-executed pieces of empirical work. The gap only becomes visible when you read the clusters against each other rather than in isolation, and once it does, it is difficult to unsee.</w:t>
      </w:r>
    </w:p>
    <w:p>
      <w:pPr>
        <w:spacing w:after="200" w:line="300"/>
        <w:jc w:val="both"/>
      </w:pPr>
      <w:r>
        <w:rPr>
          <w:rFonts w:ascii="Times New Roman" w:cs="Times New Roman" w:eastAsia="Times New Roman" w:hAnsi="Times New Roman"/>
          <w:i w:val="false"/>
          <w:iCs w:val="false"/>
          <w:sz w:val="24"/>
          <w:szCs w:val="24"/>
        </w:rPr>
        <w:t xml:space="preserve">Applied legal-assistant systems (Cluster 5) are built and evaluated as if confidentiality and access control simply do not exist as design considerations. Privacy- and security-preserving techniques (Clusters 2 and 3), meanwhile, are developed and tested on generic, single-party, general-domain data, and none of them have been evaluated on the multi-party legal documents — case files naming several parties, contracts naming several counterparties — that would actually stress-test them in the setting they claim to serve. Legal-domain accuracy research (Clusters 1 and 4) treats correctness and confidentiality as though they belonged to entirely separate research programs, which in practice they have been. And the one paper we found that seemed to be attempting a genuine synthesis of privacy-preserving techniques with legal-domain RAG could not be verified closely enough to cite with confidence, which is itself a small illustration of how thin the ground is here.</w:t>
      </w:r>
    </w:p>
    <w:p>
      <w:pPr>
        <w:spacing w:after="200" w:line="300"/>
        <w:jc w:val="both"/>
      </w:pPr>
      <w:r>
        <w:rPr>
          <w:rFonts w:ascii="Times New Roman" w:cs="Times New Roman" w:eastAsia="Times New Roman" w:hAnsi="Times New Roman"/>
          <w:i w:val="false"/>
          <w:iCs w:val="false"/>
          <w:sz w:val="24"/>
          <w:szCs w:val="24"/>
        </w:rPr>
        <w:t xml:space="preserve">We do not think this gap exists because researchers in any of these areas have been careless. It exists because legal-AI-capability research, privacy-preserving-ML research, and LLM-security research are, at present, conducted by largely non-overlapping communities, publishing in largely non-overlapping venues, and citing each other only occasionally. Closing it does not require a fundamentally new algorithm so much as a willingness to combine existing ones and then actually test the combination on data that looks like the real thing — multi-party, privilege-bound, and adversarially interesting in ways that a clean benchmark dataset usually is not.</w:t>
      </w:r>
    </w:p>
    <w:p>
      <w:pPr>
        <w:pStyle w:val="Heading1"/>
        <w:spacing w:after="160" w:before="300"/>
      </w:pPr>
      <w:r>
        <w:rPr>
          <w:rFonts w:ascii="Times New Roman" w:cs="Times New Roman" w:eastAsia="Times New Roman" w:hAnsi="Times New Roman"/>
          <w:b/>
          <w:bCs/>
          <w:sz w:val="28"/>
          <w:szCs w:val="28"/>
        </w:rPr>
        <w:t xml:space="preserve">10. Toward a Secure, Two-Tier Legal Assistant: A Proposed Direction</w:t>
      </w:r>
    </w:p>
    <w:p>
      <w:pPr>
        <w:spacing w:after="200" w:line="300"/>
        <w:jc w:val="both"/>
      </w:pPr>
      <w:r>
        <w:rPr>
          <w:rFonts w:ascii="Times New Roman" w:cs="Times New Roman" w:eastAsia="Times New Roman" w:hAnsi="Times New Roman"/>
          <w:i w:val="false"/>
          <w:iCs w:val="false"/>
          <w:sz w:val="24"/>
          <w:szCs w:val="24"/>
        </w:rPr>
        <w:t xml:space="preserve">The direction we are pursuing in the accompanying project is deliberately narrower than a full solution to the gap described above, but we think it targets a genuinely under-explored corner of it. Rather than building one assistant open to any user, we propose splitting access into two tiers. A professional tier, unlocked only after the user's Bar Council certificate has been verified, provides full retrieval-augmented reasoning: it retrieves factually and legally similar prior cases, clusters them, and surfaces how each was argued and how each was ultimately resolved, so that a lawyer is reasoning from a pattern of precedent rather than a single retrieved document. A public tier, open to anyone, answers only in general, non-advisory terms through a standard LLM API, deliberately withholding case-specific reasoning and access to the professional-tier corpus.</w:t>
      </w:r>
    </w:p>
    <w:p>
      <w:pPr>
        <w:spacing w:after="200" w:line="300"/>
        <w:jc w:val="both"/>
      </w:pPr>
      <w:r>
        <w:rPr>
          <w:rFonts w:ascii="Times New Roman" w:cs="Times New Roman" w:eastAsia="Times New Roman" w:hAnsi="Times New Roman"/>
          <w:i w:val="false"/>
          <w:iCs w:val="false"/>
          <w:sz w:val="24"/>
          <w:szCs w:val="24"/>
        </w:rPr>
        <w:t xml:space="preserve">Two further design choices follow from the literature reviewed above rather than from intuition. First, the professional tier is reasoned over by a fine-tuned Small Language Model rather than a large proprietary LLM — a choice that responds directly to the observation, running through Clusters 2 and 3, that routing sensitive text through a third-party API is itself a confidentiality risk that none of the reviewed privacy-preserving techniques fully close. A smaller, potentially self-hosted model narrows that exposure considerably, at some cost in raw reasoning capability that we intend to measure rather than assume away. Second, the system incorporates prompt-injection screening for third-party documents entering the professional tier's context — an opposing party's court filing, for instance — together with a citation-verification step and a lightweight, tamper-evident audit log, the latter justified by Tanwar et al.'s survey of blockchain-based security mechanisms [29].</w:t>
      </w:r>
    </w:p>
    <w:p>
      <w:pPr>
        <w:spacing w:after="200" w:line="300"/>
        <w:jc w:val="both"/>
      </w:pPr>
      <w:r>
        <w:rPr>
          <w:rFonts w:ascii="Times New Roman" w:cs="Times New Roman" w:eastAsia="Times New Roman" w:hAnsi="Times New Roman"/>
          <w:i w:val="false"/>
          <w:iCs w:val="false"/>
          <w:sz w:val="24"/>
          <w:szCs w:val="24"/>
        </w:rPr>
        <w:t xml:space="preserve">We want to be honest about what this does and does not solve. It does not resolve the multi-party privacy-unit problem that Grislain [14] flags for differential privacy, nor does it attempt the fine-grained, per-matter conflict-of-interest access control that a large law firm would eventually need. What it does offer, and what we could not find precedent for anywhere in the 32 sources reviewed, is professional-identity verification used as the actual access-control mechanism for a legal RAG system, combined with a lightweight model chosen specifically for its privacy properties rather than its benchmark score. Whether that combination performs well enough to be useful is an empirical question we intend to answer in the next phase of this project, not a claim we are making here.</w:t>
      </w:r>
    </w:p>
    <w:p>
      <w:pPr>
        <w:pStyle w:val="Heading1"/>
        <w:spacing w:after="160" w:before="300"/>
      </w:pPr>
      <w:r>
        <w:rPr>
          <w:rFonts w:ascii="Times New Roman" w:cs="Times New Roman" w:eastAsia="Times New Roman" w:hAnsi="Times New Roman"/>
          <w:b/>
          <w:bCs/>
          <w:sz w:val="28"/>
          <w:szCs w:val="28"/>
        </w:rPr>
        <w:t xml:space="preserve">11. Conclusion</w:t>
      </w:r>
    </w:p>
    <w:p>
      <w:pPr>
        <w:spacing w:after="200" w:line="300"/>
        <w:jc w:val="both"/>
      </w:pPr>
      <w:r>
        <w:rPr>
          <w:rFonts w:ascii="Times New Roman" w:cs="Times New Roman" w:eastAsia="Times New Roman" w:hAnsi="Times New Roman"/>
          <w:i w:val="false"/>
          <w:iCs w:val="false"/>
          <w:sz w:val="24"/>
          <w:szCs w:val="24"/>
        </w:rPr>
        <w:t xml:space="preserve">Legal AI has, by most accounts, made real progress on the accuracy side of the ledger over the past three years, and the papers reviewed here reflect that progress honestly, hallucination rates and all. What has not kept pace is any serious attempt to ask who should be allowed to use these systems and what should happen to the sensitive material that passes through them. That is not a criticism of any individual paper so much as an observation about how the field has organized itself — into capability research, privacy research, and security research that rarely talk to each other. We hope this review, and the narrow design direction it motivates, is a small step toward closing that distance, and we would be glad to be told it has already been closed somewhere we did not find.</w:t>
      </w:r>
    </w:p>
    <w:p>
      <w:r>
        <w:br w:type="page"/>
      </w:r>
    </w:p>
    <w:p>
      <w:pPr>
        <w:pStyle w:val="Heading1"/>
        <w:spacing w:after="160" w:before="300"/>
      </w:pPr>
      <w:r>
        <w:rPr>
          <w:rFonts w:ascii="Times New Roman" w:cs="Times New Roman" w:eastAsia="Times New Roman" w:hAnsi="Times New Roman"/>
          <w:b/>
          <w:bCs/>
          <w:sz w:val="28"/>
          <w:szCs w:val="28"/>
        </w:rPr>
        <w:t xml:space="preserve">References</w:t>
      </w:r>
    </w:p>
    <w:p>
      <w:pPr>
        <w:spacing w:after="200" w:line="300"/>
        <w:jc w:val="both"/>
      </w:pPr>
      <w:r>
        <w:rPr>
          <w:rFonts w:ascii="Times New Roman" w:cs="Times New Roman" w:eastAsia="Times New Roman" w:hAnsi="Times New Roman"/>
          <w:i w:val="false"/>
          <w:iCs w:val="false"/>
          <w:sz w:val="24"/>
          <w:szCs w:val="24"/>
        </w:rPr>
        <w:t xml:space="preserve">References are listed alphabetically by first author's surname in APA (7th edition) style and numbered [1]–[32] to match the in-text citations above. Entries marked with an asterisk (*) have a publication venue that could not be independently verified at the time of writing and should be confirmed before any formal submission that relies on this review.</w:t>
      </w:r>
    </w:p>
    <w:p>
      <w:pPr>
        <w:spacing w:after="140" w:line="276"/>
        <w:ind w:left="432" w:hanging="432"/>
      </w:pPr>
      <w:r>
        <w:rPr>
          <w:rFonts w:ascii="Times New Roman" w:cs="Times New Roman" w:eastAsia="Times New Roman" w:hAnsi="Times New Roman"/>
          <w:sz w:val="22"/>
          <w:szCs w:val="22"/>
        </w:rPr>
        <w:t xml:space="preserve">[1] Almohaimeed, A., et al. (2026). Privacy-preserving RAG by concealing sensitive information from external LLMs. arXiv. https://arxiv.org/abs/2608.12675</w:t>
      </w:r>
    </w:p>
    <w:p>
      <w:pPr>
        <w:spacing w:after="140" w:line="276"/>
        <w:ind w:left="432" w:hanging="432"/>
      </w:pPr>
      <w:r>
        <w:rPr>
          <w:rFonts w:ascii="Times New Roman" w:cs="Times New Roman" w:eastAsia="Times New Roman" w:hAnsi="Times New Roman"/>
          <w:sz w:val="22"/>
          <w:szCs w:val="22"/>
        </w:rPr>
        <w:t xml:space="preserve">[2] Ariai, F., Mackenzie, J., &amp; Demartini, G. (2024). Natural language processing for the legal domain: A survey of tasks, datasets, models, and challenges. arXiv. https://arxiv.org/abs/2410.21306</w:t>
      </w:r>
    </w:p>
    <w:p>
      <w:pPr>
        <w:spacing w:after="140" w:line="276"/>
        <w:ind w:left="432" w:hanging="432"/>
      </w:pPr>
      <w:r>
        <w:rPr>
          <w:rFonts w:ascii="Times New Roman" w:cs="Times New Roman" w:eastAsia="Times New Roman" w:hAnsi="Times New Roman"/>
          <w:sz w:val="22"/>
          <w:szCs w:val="22"/>
        </w:rPr>
        <w:t xml:space="preserve">[3] Chen, Zhou, Lin, Feng, Shen, &amp; Wu. (2025). A survey on privacy risks and protection in large language models. arXiv. https://arxiv.org/pdf/2505.01976</w:t>
      </w:r>
    </w:p>
    <w:p>
      <w:pPr>
        <w:spacing w:after="140" w:line="276"/>
        <w:ind w:left="432" w:hanging="432"/>
      </w:pPr>
      <w:r>
        <w:rPr>
          <w:rFonts w:ascii="Times New Roman" w:cs="Times New Roman" w:eastAsia="Times New Roman" w:hAnsi="Times New Roman"/>
          <w:sz w:val="22"/>
          <w:szCs w:val="22"/>
        </w:rPr>
        <w:t xml:space="preserve">[4] Cui, Shen, Nie, Wang, et al. (2022). A survey on legal judgment prediction: Datasets, metrics, models and challenges. arXiv. https://arxiv.org/pdf/2204.04859</w:t>
      </w:r>
    </w:p>
    <w:p>
      <w:pPr>
        <w:spacing w:after="140" w:line="276"/>
        <w:ind w:left="432" w:hanging="432"/>
      </w:pPr>
      <w:r>
        <w:rPr>
          <w:rFonts w:ascii="Times New Roman" w:cs="Times New Roman" w:eastAsia="Times New Roman" w:hAnsi="Times New Roman"/>
          <w:sz w:val="22"/>
          <w:szCs w:val="22"/>
        </w:rPr>
        <w:t xml:space="preserve">[5] Dahl, M., Magesh, V., Suzgun, M., &amp; Ho, D. E. (2024). Large legal fictions: Profiling legal hallucinations in large language models. Journal of Legal Analysis. https://arxiv.org/abs/2401.01301</w:t>
      </w:r>
    </w:p>
    <w:p>
      <w:pPr>
        <w:spacing w:after="140" w:line="276"/>
        <w:ind w:left="432" w:hanging="432"/>
      </w:pPr>
      <w:r>
        <w:rPr>
          <w:rFonts w:ascii="Times New Roman" w:cs="Times New Roman" w:eastAsia="Times New Roman" w:hAnsi="Times New Roman"/>
          <w:sz w:val="22"/>
          <w:szCs w:val="22"/>
        </w:rPr>
        <w:t xml:space="preserve">[6] Davane, D. R., Shirsath, A. P., Kalamkar, G. A., &amp; Itankar, P. Y. (2025). Legal-Lens: AI-driven legal document review and risk analysis.* (Publication venue not independently confirmed.)</w:t>
      </w:r>
    </w:p>
    <w:p>
      <w:pPr>
        <w:spacing w:after="140" w:line="276"/>
        <w:ind w:left="432" w:hanging="432"/>
      </w:pPr>
      <w:r>
        <w:rPr>
          <w:rFonts w:ascii="Times New Roman" w:cs="Times New Roman" w:eastAsia="Times New Roman" w:hAnsi="Times New Roman"/>
          <w:sz w:val="22"/>
          <w:szCs w:val="22"/>
        </w:rPr>
        <w:t xml:space="preserve">[7] Davenport, M. J. (2025). Enhancing legal document analysis with large language models: A structured approach to accuracy, context preservation, and risk mitigation. Open Journal of Modern Linguistics. https://www.researchgate.net/publication/392534769</w:t>
      </w:r>
    </w:p>
    <w:p>
      <w:pPr>
        <w:spacing w:after="140" w:line="276"/>
        <w:ind w:left="432" w:hanging="432"/>
      </w:pPr>
      <w:r>
        <w:rPr>
          <w:rFonts w:ascii="Times New Roman" w:cs="Times New Roman" w:eastAsia="Times New Roman" w:hAnsi="Times New Roman"/>
          <w:sz w:val="22"/>
          <w:szCs w:val="22"/>
        </w:rPr>
        <w:t xml:space="preserve">[8] Dehghani, Dehghani, Naderzadeh Ardebili, &amp; Rahnamayan. (2025). Large language models in legal systems: A survey. Humanities and Social Sciences Communications. https://www.nature.com/articles/s41599-025-05924-3</w:t>
      </w:r>
    </w:p>
    <w:p>
      <w:pPr>
        <w:spacing w:after="140" w:line="276"/>
        <w:ind w:left="432" w:hanging="432"/>
      </w:pPr>
      <w:r>
        <w:rPr>
          <w:rFonts w:ascii="Times New Roman" w:cs="Times New Roman" w:eastAsia="Times New Roman" w:hAnsi="Times New Roman"/>
          <w:sz w:val="22"/>
          <w:szCs w:val="22"/>
        </w:rPr>
        <w:t xml:space="preserve">[9] Deußer, Sparrenberg, Berger, Hahnbück, Bauckhage, &amp; Sifa. (2025). A survey on current trends and recent advances in text anonymization. arXiv. https://arxiv.org/html/2508.21587v1</w:t>
      </w:r>
    </w:p>
    <w:p>
      <w:pPr>
        <w:spacing w:after="140" w:line="276"/>
        <w:ind w:left="432" w:hanging="432"/>
      </w:pPr>
      <w:r>
        <w:rPr>
          <w:rFonts w:ascii="Times New Roman" w:cs="Times New Roman" w:eastAsia="Times New Roman" w:hAnsi="Times New Roman"/>
          <w:sz w:val="22"/>
          <w:szCs w:val="22"/>
        </w:rPr>
        <w:t xml:space="preserve">[10] Duan, M., et al. (2023). Do membership inference attacks work on large language models? OpenReview. https://openreview.net/forum?id=av0D19pSkU</w:t>
      </w:r>
    </w:p>
    <w:p>
      <w:pPr>
        <w:spacing w:after="140" w:line="276"/>
        <w:ind w:left="432" w:hanging="432"/>
      </w:pPr>
      <w:r>
        <w:rPr>
          <w:rFonts w:ascii="Times New Roman" w:cs="Times New Roman" w:eastAsia="Times New Roman" w:hAnsi="Times New Roman"/>
          <w:sz w:val="22"/>
          <w:szCs w:val="22"/>
        </w:rPr>
        <w:t xml:space="preserve">[11] El Mghari, Y., Benlahbib, A., &amp; Ettahiri, M. (2024). Sovereign AI framework for regulatory knowledge management in public administration using RAG.* (Publication venue not independently confirmed.)</w:t>
      </w:r>
    </w:p>
    <w:p>
      <w:pPr>
        <w:spacing w:after="140" w:line="276"/>
        <w:ind w:left="432" w:hanging="432"/>
      </w:pPr>
      <w:r>
        <w:rPr>
          <w:rFonts w:ascii="Times New Roman" w:cs="Times New Roman" w:eastAsia="Times New Roman" w:hAnsi="Times New Roman"/>
          <w:sz w:val="22"/>
          <w:szCs w:val="22"/>
        </w:rPr>
        <w:t xml:space="preserve">[12] Ferrag, Tihanyi, Hamouda, Maglaras, &amp; Debbah. (2025). From prompt injections to protocol exploits: Threats in LLM-powered AI agents workflows. arXiv. https://arxiv.org/html/2506.23260v1</w:t>
      </w:r>
    </w:p>
    <w:p>
      <w:pPr>
        <w:spacing w:after="140" w:line="276"/>
        <w:ind w:left="432" w:hanging="432"/>
      </w:pPr>
      <w:r>
        <w:rPr>
          <w:rFonts w:ascii="Times New Roman" w:cs="Times New Roman" w:eastAsia="Times New Roman" w:hAnsi="Times New Roman"/>
          <w:sz w:val="22"/>
          <w:szCs w:val="22"/>
        </w:rPr>
        <w:t xml:space="preserve">[13] Geng, Xu, Qu, &amp; Wong. (2026). Prompt injection attacks on large language models: A survey of attack methods, root causes, and defense strategies. ScienceDirect. https://www.sciencedirect.com/org/science/article/pii/S1546221826001384</w:t>
      </w:r>
    </w:p>
    <w:p>
      <w:pPr>
        <w:spacing w:after="140" w:line="276"/>
        <w:ind w:left="432" w:hanging="432"/>
      </w:pPr>
      <w:r>
        <w:rPr>
          <w:rFonts w:ascii="Times New Roman" w:cs="Times New Roman" w:eastAsia="Times New Roman" w:hAnsi="Times New Roman"/>
          <w:sz w:val="22"/>
          <w:szCs w:val="22"/>
        </w:rPr>
        <w:t xml:space="preserve">[14] Grislain, N. (2024). Privacy-preserving retrieval-augmented generation with differential privacy. arXiv. https://arxiv.org/abs/2412.04697</w:t>
      </w:r>
    </w:p>
    <w:p>
      <w:pPr>
        <w:spacing w:after="140" w:line="276"/>
        <w:ind w:left="432" w:hanging="432"/>
      </w:pPr>
      <w:r>
        <w:rPr>
          <w:rFonts w:ascii="Times New Roman" w:cs="Times New Roman" w:eastAsia="Times New Roman" w:hAnsi="Times New Roman"/>
          <w:sz w:val="22"/>
          <w:szCs w:val="22"/>
        </w:rPr>
        <w:t xml:space="preserve">[15] He, Tang, Zhang, Zhou, &amp; Su. (2025). Mitigating privacy risks in retrieval-augmented generation via locally private entity perturbation. Information Processing &amp; Management. https://www.sciencedirect.com/science/article/abs/pii/S0306457325000913</w:t>
      </w:r>
    </w:p>
    <w:p>
      <w:pPr>
        <w:spacing w:after="140" w:line="276"/>
        <w:ind w:left="432" w:hanging="432"/>
      </w:pPr>
      <w:r>
        <w:rPr>
          <w:rFonts w:ascii="Times New Roman" w:cs="Times New Roman" w:eastAsia="Times New Roman" w:hAnsi="Times New Roman"/>
          <w:sz w:val="22"/>
          <w:szCs w:val="22"/>
        </w:rPr>
        <w:t xml:space="preserve">[16] Hou, Ye, Zeng, Hao, &amp; Zeng. (2025). Large language models meet legal artificial intelligence: A survey. arXiv. https://arxiv.org/html/2509.09969v1</w:t>
      </w:r>
    </w:p>
    <w:p>
      <w:pPr>
        <w:spacing w:after="140" w:line="276"/>
        <w:ind w:left="432" w:hanging="432"/>
      </w:pPr>
      <w:r>
        <w:rPr>
          <w:rFonts w:ascii="Times New Roman" w:cs="Times New Roman" w:eastAsia="Times New Roman" w:hAnsi="Times New Roman"/>
          <w:sz w:val="22"/>
          <w:szCs w:val="22"/>
        </w:rPr>
        <w:t xml:space="preserve">[17] Karamitsos, Roufas, Al-Hussaeni, &amp; Kanavos. (2025). LegNER: A domain-adapted transformer for legal named entity recognition and text anonymization. Frontiers in Artificial Intelligence. https://www.frontiersin.org/journals/artificial-intelligence/articles/10.3389/frai.2025.1638971/full</w:t>
      </w:r>
    </w:p>
    <w:p>
      <w:pPr>
        <w:spacing w:after="140" w:line="276"/>
        <w:ind w:left="432" w:hanging="432"/>
      </w:pPr>
      <w:r>
        <w:rPr>
          <w:rFonts w:ascii="Times New Roman" w:cs="Times New Roman" w:eastAsia="Times New Roman" w:hAnsi="Times New Roman"/>
          <w:sz w:val="22"/>
          <w:szCs w:val="22"/>
        </w:rPr>
        <w:t xml:space="preserve">[18] Kumar, R., Sharma, P., &amp; Gupta, M. (2024). AI-based legal document processing and analysis for enhanced legal accessibility.* (Publication venue not independently confirmed.)</w:t>
      </w:r>
    </w:p>
    <w:p>
      <w:pPr>
        <w:spacing w:after="140" w:line="276"/>
        <w:ind w:left="432" w:hanging="432"/>
      </w:pPr>
      <w:r>
        <w:rPr>
          <w:rFonts w:ascii="Times New Roman" w:cs="Times New Roman" w:eastAsia="Times New Roman" w:hAnsi="Times New Roman"/>
          <w:sz w:val="22"/>
          <w:szCs w:val="22"/>
        </w:rPr>
        <w:t xml:space="preserve">[19] Li, C., Xu, R., Qi, Y., et al. (2026). PRAG: End-to-end privacy-preserving retrieval-augmented generation. arXiv. https://arxiv.org/pdf/2604.26525</w:t>
      </w:r>
    </w:p>
    <w:p>
      <w:pPr>
        <w:spacing w:after="140" w:line="276"/>
        <w:ind w:left="432" w:hanging="432"/>
      </w:pPr>
      <w:r>
        <w:rPr>
          <w:rFonts w:ascii="Times New Roman" w:cs="Times New Roman" w:eastAsia="Times New Roman" w:hAnsi="Times New Roman"/>
          <w:sz w:val="22"/>
          <w:szCs w:val="22"/>
        </w:rPr>
        <w:t xml:space="preserve">[20] Liu, Li, Ma, Zhao, &amp; Du. (2025). ContractEval: Benchmarking LLMs for clause-level legal risk identification in commercial contracts. arXiv. https://arxiv.org/pdf/2508.03080</w:t>
      </w:r>
    </w:p>
    <w:p>
      <w:pPr>
        <w:spacing w:after="140" w:line="276"/>
        <w:ind w:left="432" w:hanging="432"/>
      </w:pPr>
      <w:r>
        <w:rPr>
          <w:rFonts w:ascii="Times New Roman" w:cs="Times New Roman" w:eastAsia="Times New Roman" w:hAnsi="Times New Roman"/>
          <w:sz w:val="22"/>
          <w:szCs w:val="22"/>
        </w:rPr>
        <w:t xml:space="preserve">[21] Louis, A., van Dijck, G., &amp; Spanakis, G. (2023). Interpretable long-form legal question answering with retrieval-augmented large language models. arXiv. https://arxiv.org/abs/2309.17050</w:t>
      </w:r>
    </w:p>
    <w:p>
      <w:pPr>
        <w:spacing w:after="140" w:line="276"/>
        <w:ind w:left="432" w:hanging="432"/>
      </w:pPr>
      <w:r>
        <w:rPr>
          <w:rFonts w:ascii="Times New Roman" w:cs="Times New Roman" w:eastAsia="Times New Roman" w:hAnsi="Times New Roman"/>
          <w:sz w:val="22"/>
          <w:szCs w:val="22"/>
        </w:rPr>
        <w:t xml:space="preserve">[22] Magesh, V., Surani, F., Dahl, M., Suzgun, M., Manning, C. D., &amp; Ho, D. E. (2024). Hallucination-free? Assessing the reliability of leading AI legal research tools. Stanford RegLab. https://dho.stanford.edu/wp-content/uploads/Legal_RAG_Hallucinations.pdf</w:t>
      </w:r>
    </w:p>
    <w:p>
      <w:pPr>
        <w:spacing w:after="140" w:line="276"/>
        <w:ind w:left="432" w:hanging="432"/>
      </w:pPr>
      <w:r>
        <w:rPr>
          <w:rFonts w:ascii="Times New Roman" w:cs="Times New Roman" w:eastAsia="Times New Roman" w:hAnsi="Times New Roman"/>
          <w:sz w:val="22"/>
          <w:szCs w:val="22"/>
        </w:rPr>
        <w:t xml:space="preserve">[23] Pavate, A. A., Birje, S. S., Agar, A., Pandey, A. A., Sapre, S. S., &amp; Shukla, H. M. (2026). AI-based assistant for generating and analyzing legal documents.* (Publication venue not independently confirmed.)</w:t>
      </w:r>
    </w:p>
    <w:p>
      <w:pPr>
        <w:spacing w:after="140" w:line="276"/>
        <w:ind w:left="432" w:hanging="432"/>
      </w:pPr>
      <w:r>
        <w:rPr>
          <w:rFonts w:ascii="Times New Roman" w:cs="Times New Roman" w:eastAsia="Times New Roman" w:hAnsi="Times New Roman"/>
          <w:sz w:val="22"/>
          <w:szCs w:val="22"/>
        </w:rPr>
        <w:t xml:space="preserve">[24] Qian, Zhang, Tong, Zheng, &amp; Zheng. (2025). HyFedRAG: A federated retrieval-augmented generation framework for heterogeneous and privacy-sensitive data. arXiv. https://arxiv.org/pdf/2509.06444</w:t>
      </w:r>
    </w:p>
    <w:p>
      <w:pPr>
        <w:spacing w:after="140" w:line="276"/>
        <w:ind w:left="432" w:hanging="432"/>
      </w:pPr>
      <w:r>
        <w:rPr>
          <w:rFonts w:ascii="Times New Roman" w:cs="Times New Roman" w:eastAsia="Times New Roman" w:hAnsi="Times New Roman"/>
          <w:sz w:val="22"/>
          <w:szCs w:val="22"/>
        </w:rPr>
        <w:t xml:space="preserve">[25] Ramakrishnan, &amp; Balaji. (2025). Securing AI agents against prompt injection attacks: A comprehensive benchmark and defense framework. arXiv. https://arxiv.org/html/2511.15759v1</w:t>
      </w:r>
    </w:p>
    <w:p>
      <w:pPr>
        <w:spacing w:after="140" w:line="276"/>
        <w:ind w:left="432" w:hanging="432"/>
      </w:pPr>
      <w:r>
        <w:rPr>
          <w:rFonts w:ascii="Times New Roman" w:cs="Times New Roman" w:eastAsia="Times New Roman" w:hAnsi="Times New Roman"/>
          <w:sz w:val="22"/>
          <w:szCs w:val="22"/>
        </w:rPr>
        <w:t xml:space="preserve">[26] Salierno, Bertè, Attias, Morrone, Pettazzoni, &amp; Battisti. (2024). GiusBERTo: A legal language model for personal data de-identification in Italian Court of Auditors decisions. arXiv. https://arxiv.org/pdf/2406.15032</w:t>
      </w:r>
    </w:p>
    <w:p>
      <w:pPr>
        <w:spacing w:after="140" w:line="276"/>
        <w:ind w:left="432" w:hanging="432"/>
      </w:pPr>
      <w:r>
        <w:rPr>
          <w:rFonts w:ascii="Times New Roman" w:cs="Times New Roman" w:eastAsia="Times New Roman" w:hAnsi="Times New Roman"/>
          <w:sz w:val="22"/>
          <w:szCs w:val="22"/>
        </w:rPr>
        <w:t xml:space="preserve">[27] Shahriar, Rahman, Ahmed, Sadeque, &amp; Parvez. (2025). A survey on agentic security: Applications, threats and defenses. arXiv. https://arxiv.org/pdf/2510.06445</w:t>
      </w:r>
    </w:p>
    <w:p>
      <w:pPr>
        <w:spacing w:after="140" w:line="276"/>
        <w:ind w:left="432" w:hanging="432"/>
      </w:pPr>
      <w:r>
        <w:rPr>
          <w:rFonts w:ascii="Times New Roman" w:cs="Times New Roman" w:eastAsia="Times New Roman" w:hAnsi="Times New Roman"/>
          <w:sz w:val="22"/>
          <w:szCs w:val="22"/>
        </w:rPr>
        <w:t xml:space="preserve">[28] Shekhawat, Y., Tiwari, U., Mehdi, S. H., &amp; Vaishy, H. (2025). AI powered legal documentation assistant. In Emerging Applications of Artificial Intelligence (Book chapter). Taylor &amp; Francis / CRC Press. https://www.taylorfrancis.com/chapters/edit/10.1201/9781003606635-111</w:t>
      </w:r>
    </w:p>
    <w:p>
      <w:pPr>
        <w:spacing w:after="140" w:line="276"/>
        <w:ind w:left="432" w:hanging="432"/>
      </w:pPr>
      <w:r>
        <w:rPr>
          <w:rFonts w:ascii="Times New Roman" w:cs="Times New Roman" w:eastAsia="Times New Roman" w:hAnsi="Times New Roman"/>
          <w:sz w:val="22"/>
          <w:szCs w:val="22"/>
        </w:rPr>
        <w:t xml:space="preserve">[29] Tanwar, S., Kumar, N., &amp; Sharma, R. (2025). A comprehensive survey on the integration of AI and blockchain: Benefits, security concerns, and regulatory perspectives.* (Publication venue not independently confirmed.)</w:t>
      </w:r>
    </w:p>
    <w:p>
      <w:pPr>
        <w:spacing w:after="140" w:line="276"/>
        <w:ind w:left="432" w:hanging="432"/>
      </w:pPr>
      <w:r>
        <w:rPr>
          <w:rFonts w:ascii="Times New Roman" w:cs="Times New Roman" w:eastAsia="Times New Roman" w:hAnsi="Times New Roman"/>
          <w:sz w:val="22"/>
          <w:szCs w:val="22"/>
        </w:rPr>
        <w:t xml:space="preserve">[30] Wang, et al. (2023). MAUD: An expert-annotated legal NLP dataset for merger agreement understanding. arXiv. https://arxiv.org/pdf/2301.00876</w:t>
      </w:r>
    </w:p>
    <w:p>
      <w:pPr>
        <w:spacing w:after="140" w:line="276"/>
        <w:ind w:left="432" w:hanging="432"/>
      </w:pPr>
      <w:r>
        <w:rPr>
          <w:rFonts w:ascii="Times New Roman" w:cs="Times New Roman" w:eastAsia="Times New Roman" w:hAnsi="Times New Roman"/>
          <w:sz w:val="22"/>
          <w:szCs w:val="22"/>
        </w:rPr>
        <w:t xml:space="preserve">[31] Ye, Guo, Liu, &amp; Lam. (2026). Efficient privacy-preserving retrieval-augmented generation with distance-preserving encryption. arXiv. https://arxiv.org/html/2601.12331</w:t>
      </w:r>
    </w:p>
    <w:p>
      <w:pPr>
        <w:spacing w:after="140" w:line="276"/>
        <w:ind w:left="432" w:hanging="432"/>
      </w:pPr>
      <w:r>
        <w:rPr>
          <w:rFonts w:ascii="Times New Roman" w:cs="Times New Roman" w:eastAsia="Times New Roman" w:hAnsi="Times New Roman"/>
          <w:sz w:val="22"/>
          <w:szCs w:val="22"/>
        </w:rPr>
        <w:t xml:space="preserve">[32] Zeng, S., et al. (2024). Exploring privacy issues in retrieval-augmented generation. In Findings of the Association for Computational Linguistics: ACL 2024. https://aclanthology.org/2024.findings-acl.267.pdf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2026-09-14T07:28:54.624Z</dcterms:created>
  <dcterms:modified xsi:type="dcterms:W3CDTF">2026-09-14T07:28:54.634Z</dcterms:modified>
</cp:coreProperties>
</file>

<file path=docProps/custom.xml><?xml version="1.0" encoding="utf-8"?>
<Properties xmlns="http://schemas.openxmlformats.org/officeDocument/2006/custom-properties" xmlns:vt="http://schemas.openxmlformats.org/officeDocument/2006/docPropsVTypes"/>
</file>