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072C3044" wp14:textId="77777777">
      <w:pPr>
        <w:jc w:val="center"/>
      </w:pPr>
      <w:r>
        <w:rPr>
          <w:b/>
          <w:sz w:val="36"/>
        </w:rPr>
        <w:t>ABHIJIT DEY</w:t>
      </w:r>
    </w:p>
    <w:p xmlns:wp14="http://schemas.microsoft.com/office/word/2010/wordml" w14:paraId="1A2EE4B2" wp14:textId="77777777">
      <w:pPr>
        <w:jc w:val="center"/>
      </w:pPr>
      <w:r>
        <w:rPr>
          <w:b/>
          <w:sz w:val="20"/>
        </w:rPr>
        <w:t>Senior Manager – Process Excellence | Business Transformation | Lean Six Sigma | AI &amp; Automation</w:t>
      </w:r>
    </w:p>
    <w:p xmlns:wp14="http://schemas.microsoft.com/office/word/2010/wordml" w14:paraId="0DD30BFD" wp14:textId="4E939B76">
      <w:pPr>
        <w:jc w:val="center"/>
      </w:pPr>
      <w:r w:rsidRPr="61DA2B69" w:rsidR="61DA2B69">
        <w:rPr>
          <w:sz w:val="17"/>
          <w:szCs w:val="17"/>
        </w:rPr>
        <w:t xml:space="preserve">Kolkata, </w:t>
      </w:r>
      <w:r w:rsidRPr="61DA2B69" w:rsidR="61DA2B69">
        <w:rPr>
          <w:sz w:val="17"/>
          <w:szCs w:val="17"/>
        </w:rPr>
        <w:t>India  |</w:t>
      </w:r>
      <w:r w:rsidRPr="61DA2B69" w:rsidR="61DA2B69">
        <w:rPr>
          <w:sz w:val="17"/>
          <w:szCs w:val="17"/>
        </w:rPr>
        <w:t xml:space="preserve">  +91 </w:t>
      </w:r>
      <w:r w:rsidRPr="61DA2B69" w:rsidR="61DA2B69">
        <w:rPr>
          <w:sz w:val="17"/>
          <w:szCs w:val="17"/>
        </w:rPr>
        <w:t xml:space="preserve">9874852518 |  abhijitdey581@gmail.com </w:t>
      </w:r>
      <w:r w:rsidRPr="61DA2B69" w:rsidR="61DA2B69">
        <w:rPr>
          <w:sz w:val="17"/>
          <w:szCs w:val="17"/>
        </w:rPr>
        <w:t>|  LinkedIn</w:t>
      </w:r>
    </w:p>
    <w:p xmlns:wp14="http://schemas.microsoft.com/office/word/2010/wordml" w14:paraId="07DAC14A" wp14:textId="77777777">
      <w:pPr>
        <w:pStyle w:val="Heading1"/>
        <w:spacing w:before="100" w:after="40"/>
      </w:pPr>
      <w:r>
        <w:t>PROFESSIONAL SUMMARY</w:t>
      </w:r>
    </w:p>
    <w:p xmlns:wp14="http://schemas.microsoft.com/office/word/2010/wordml" w14:paraId="23A87DC1" wp14:textId="77777777">
      <w:pPr>
        <w:spacing w:after="40"/>
      </w:pPr>
      <w:r>
        <w:t>Senior Operations, Process Excellence &amp; Transformation Leader with 15 years of experience across BPO/KPO, P&amp;C Insurance and Finance &amp; Accounting, combining Lean Six Sigma, business transformation, operational excellence, client consulting and digital transformation. Experienced in leading global client portfolios, process discovery, DMAIC-based improvement, operating-model design, AI/RPA automation, stakeholder engagement and measurable benefits realisation. Currently leads operations for 100+ global clients and 400+ professionals while driving Process Excellence, continuous improvement, capability building and AI-led transformation.</w:t>
      </w:r>
    </w:p>
    <w:p xmlns:wp14="http://schemas.microsoft.com/office/word/2010/wordml" w14:paraId="38BE18C1" wp14:textId="77777777">
      <w:pPr>
        <w:pStyle w:val="Heading1"/>
        <w:spacing w:before="100" w:after="40"/>
      </w:pPr>
      <w:r>
        <w:t>CORE COMPETENCIES</w:t>
      </w:r>
    </w:p>
    <w:p xmlns:wp14="http://schemas.microsoft.com/office/word/2010/wordml" w14:paraId="46D6A95A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Lean Six Sigma / DMAIC / Statistical Analysis / Hypothesis Testing / Regression / Correlation / DOE / SPC / FMEA / RCA / CAPA / Kaizen</w:t>
      </w:r>
    </w:p>
    <w:p xmlns:wp14="http://schemas.microsoft.com/office/word/2010/wordml" w14:paraId="15AEFCA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Process Excellence / Process Discovery / Process Mapping / Value-Chain Analysis / Gap Analysis / Process Re-engineering / Operating Model Design</w:t>
      </w:r>
    </w:p>
    <w:p xmlns:wp14="http://schemas.microsoft.com/office/word/2010/wordml" w14:paraId="76C344B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Business Transformation / Continuous Improvement / Change Management / Transformation Governance / Benefit Realisation</w:t>
      </w:r>
    </w:p>
    <w:p xmlns:wp14="http://schemas.microsoft.com/office/word/2010/wordml" w14:paraId="5F8CD74B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Client Consulting / Executive &amp; Client Presentations / QBRs / Stakeholder Influencing / Cross-functional Leadership</w:t>
      </w:r>
    </w:p>
    <w:p xmlns:wp14="http://schemas.microsoft.com/office/word/2010/wordml" w14:paraId="481637A6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AI / GenAI / Agentic AI / RPA / Power Automate / AI Solution Design / Automation Governance / ROI Tracking</w:t>
      </w:r>
    </w:p>
    <w:p xmlns:wp14="http://schemas.microsoft.com/office/word/2010/wordml" w14:paraId="2ED272FE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Capability Building / Training / Coaching / Mentoring / TNA / SOP &amp; Knowledge Management / KPI &amp; Governance Frameworks</w:t>
      </w:r>
    </w:p>
    <w:p xmlns:wp14="http://schemas.microsoft.com/office/word/2010/wordml" w14:paraId="79CE460B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Power BI / Minitab / Visio / Advanced Excel / PowerPoint</w:t>
      </w:r>
    </w:p>
    <w:p xmlns:wp14="http://schemas.microsoft.com/office/word/2010/wordml" w14:paraId="434FE9C5" wp14:textId="77777777">
      <w:pPr>
        <w:pStyle w:val="Heading1"/>
        <w:spacing w:before="100" w:after="40"/>
      </w:pPr>
      <w:r>
        <w:t>SELECTED JD-ALIGNED HIGHLIGHTS</w:t>
      </w:r>
    </w:p>
    <w:p xmlns:wp14="http://schemas.microsoft.com/office/word/2010/wordml" w14:paraId="73C6EEF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end-to-end Process Excellence and transformation initiatives across global insurance operations, combining Lean Six Sigma, process analytics, root-cause analysis and digital solutions.</w:t>
      </w:r>
    </w:p>
    <w:p xmlns:wp14="http://schemas.microsoft.com/office/word/2010/wordml" w14:paraId="5C5FE00E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Conducted Process Discovery through process mapping, gap analysis, opportunity identification and use-case development; presented transformation scope and cost-benefit cases to clients and stakeholders.</w:t>
      </w:r>
    </w:p>
    <w:p xmlns:wp14="http://schemas.microsoft.com/office/word/2010/wordml" w14:paraId="44A98E81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Applied advanced LSS statistical tools including hypothesis testing, regression, correlation, DOE, SPC, FMEA, Pareto, RCA and CAPA to identify root causes and validate improvement outcomes.</w:t>
      </w:r>
    </w:p>
    <w:p xmlns:wp14="http://schemas.microsoft.com/office/word/2010/wordml" w14:paraId="03BA06A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Built and drove continuous-improvement and capability-building practices through TNA, coaching, training interventions, knowledge sharing and cross-functional collaboration.</w:t>
      </w:r>
    </w:p>
    <w:p xmlns:wp14="http://schemas.microsoft.com/office/word/2010/wordml" w14:paraId="0D65250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client-facing transformation discussions, governance reviews and QBRs; influenced business, operations, technology, quality and training stakeholders to secure adoption and sustain improvements.</w:t>
      </w:r>
    </w:p>
    <w:p xmlns:wp14="http://schemas.microsoft.com/office/word/2010/wordml" w14:paraId="77E5415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AI/RPA initiatives from opportunity assessment and business case/use-case development through POC, UAT, deployment, governance and benefits realisation.</w:t>
      </w:r>
    </w:p>
    <w:p xmlns:wp14="http://schemas.microsoft.com/office/word/2010/wordml" w14:paraId="236B506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Designed functional AI solution architectures and drove adoption of RPA, GenAI and Agentic AI solutions while monitoring confidence metrics, knowledge-management needs and post-implementation performance.</w:t>
      </w:r>
    </w:p>
    <w:p xmlns:wp14="http://schemas.microsoft.com/office/word/2010/wordml" w14:paraId="52F3035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Fostered a culture of continuous improvement, innovation and digital-first thinking across multi-client operations and global stakeholder groups.</w:t>
      </w:r>
    </w:p>
    <w:p xmlns:wp14="http://schemas.microsoft.com/office/word/2010/wordml" w14:paraId="4E0C5F8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Delivered quantified Lean Six Sigma and automation outcomes including 35.9% policy-issuance TAT improvement and $3.8M annualised savings; 70% reduction in QA coverage with improved process capability; and GenAI-led efficiency gains across multiple clients.</w:t>
      </w:r>
    </w:p>
    <w:p xmlns:wp14="http://schemas.microsoft.com/office/word/2010/wordml" w14:paraId="168A1AEF" wp14:textId="77777777">
      <w:pPr>
        <w:pStyle w:val="Heading1"/>
        <w:spacing w:before="100" w:after="40"/>
      </w:pPr>
      <w:r>
        <w:t>PROFESSIONAL EXPERIENCE</w:t>
      </w:r>
    </w:p>
    <w:p xmlns:wp14="http://schemas.microsoft.com/office/word/2010/wordml" w14:paraId="59FACFBD" wp14:textId="77777777">
      <w:r>
        <w:rPr>
          <w:b/>
        </w:rPr>
        <w:t>Sr. Manager – Lifecycle &amp; Operations (US P&amp;C and Health Insurance) | Xceedance Consulting India Pvt. Ltd.</w:t>
      </w:r>
      <w:r>
        <w:t xml:space="preserve"> | Kolkata | Mar 2025 – Present</w:t>
      </w:r>
    </w:p>
    <w:p xmlns:wp14="http://schemas.microsoft.com/office/word/2010/wordml" w14:paraId="09C37D34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Lead end-to-end service delivery across Agency and Broker lifecycle operations for 105 clients and 405 professionals, ensuring SLA adherence, backlog management, service continuity and escalation resolution.</w:t>
      </w:r>
    </w:p>
    <w:p xmlns:wp14="http://schemas.microsoft.com/office/word/2010/wordml" w14:paraId="57F5FB2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Drive portfolio-wide operational governance through KPI reviews, capacity/workforce planning, productivity, quality, TNA, capability building, data-driven decision making, cost management and account growth.</w:t>
      </w:r>
    </w:p>
    <w:p xmlns:wp14="http://schemas.microsoft.com/office/word/2010/wordml" w14:paraId="1B775A4E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Manage strategic client relationships through governance calls and QBRs, identifying operational improvement, transformation and growth opportunities.</w:t>
      </w:r>
    </w:p>
    <w:p xmlns:wp14="http://schemas.microsoft.com/office/word/2010/wordml" w14:paraId="7F925A54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Lead Process Excellence, operating-model design, business transformation and digital initiatives across the insurance value chain.</w:t>
      </w:r>
    </w:p>
    <w:p xmlns:wp14="http://schemas.microsoft.com/office/word/2010/wordml" w14:paraId="6224BB8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Conduct process mapping and gap analysis; identify improvement opportunities, develop use cases and present scope, cost-benefit and transformation cases to clients.</w:t>
      </w:r>
    </w:p>
    <w:p xmlns:wp14="http://schemas.microsoft.com/office/word/2010/wordml" w14:paraId="4BDEBC39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Design business and functional solution architectures for AI and automation initiatives; translate business requirements into scalable digital solutions.</w:t>
      </w:r>
    </w:p>
    <w:p xmlns:wp14="http://schemas.microsoft.com/office/word/2010/wordml" w14:paraId="20452DD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Lead automation from opportunity assessment and POC through UAT, deployment, governance and benefit realisation; drive adoption of RPA, GenAI and Agentic AI.</w:t>
      </w:r>
    </w:p>
    <w:p xmlns:wp14="http://schemas.microsoft.com/office/word/2010/wordml" w14:paraId="08509D8C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Lead change management and stakeholder engagement to drive adoption of operational excellence, automation and AI-led transformation.</w:t>
      </w:r>
    </w:p>
    <w:p xmlns:wp14="http://schemas.microsoft.com/office/word/2010/wordml" w14:paraId="6BC7D32B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Foster continuous improvement, innovation and digital-first thinking through cross-functional collaboration and emerging technologies.</w:t>
      </w:r>
    </w:p>
    <w:p xmlns:wp14="http://schemas.microsoft.com/office/word/2010/wordml" w14:paraId="1F7A7198" wp14:textId="77777777">
      <w:r>
        <w:rPr>
          <w:b/>
        </w:rPr>
        <w:t>Sr. Manager – Operations &amp; OPEX | Marble Box Solutions | Kolkata | Jul 2023 – Feb 2025</w:t>
      </w:r>
    </w:p>
    <w:p xmlns:wp14="http://schemas.microsoft.com/office/word/2010/wordml" w14:paraId="57247B9A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end-to-end service delivery for 101 clients and 375 professionals with portfolio governance across KPI, capacity, productivity, quality, capability building, cost and account growth.</w:t>
      </w:r>
    </w:p>
    <w:p xmlns:wp14="http://schemas.microsoft.com/office/word/2010/wordml" w14:paraId="560C3867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Process Excellence and transformation initiatives by identifying high-impact opportunities and developing use cases across the process value chain.</w:t>
      </w:r>
    </w:p>
    <w:p xmlns:wp14="http://schemas.microsoft.com/office/word/2010/wordml" w14:paraId="65463C1A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Applied Lean and Six Sigma to identify operational risks, design operating models and drive process improvements supporting strategic business decisions.</w:t>
      </w:r>
    </w:p>
    <w:p xmlns:wp14="http://schemas.microsoft.com/office/word/2010/wordml" w14:paraId="0A0539CA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Developed functional AI solution architecture and partnered with automation teams to implement intelligent automation; established automation governance and monitored ROI.</w:t>
      </w:r>
    </w:p>
    <w:p xmlns:wp14="http://schemas.microsoft.com/office/word/2010/wordml" w14:paraId="5B6FA43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Collaborated across operations, technology, quality and training teams to ensure adoption and sustained process improvement.</w:t>
      </w:r>
    </w:p>
    <w:p xmlns:wp14="http://schemas.microsoft.com/office/word/2010/wordml" w14:paraId="70DB08C7" wp14:textId="77777777">
      <w:r>
        <w:rPr>
          <w:b/>
        </w:rPr>
        <w:t>Sr. Manager – Operations | Marble Box Solutions | Kolkata | Aug 2020 – Jun 2023</w:t>
      </w:r>
    </w:p>
    <w:p xmlns:wp14="http://schemas.microsoft.com/office/word/2010/wordml" w14:paraId="1857D9AF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Managed multi-functional Service Delivery and Quality operations for 95 clients and 310 professionals.</w:t>
      </w:r>
    </w:p>
    <w:p xmlns:wp14="http://schemas.microsoft.com/office/word/2010/wordml" w14:paraId="452E0650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Drove Lean management and process optimisation to improve productivity, reduce waste and enhance service quality.</w:t>
      </w:r>
    </w:p>
    <w:p xmlns:wp14="http://schemas.microsoft.com/office/word/2010/wordml" w14:paraId="5FC2DD7A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Used KPI trends, capacity planning, productivity tracking, quality analysis and corrective actions to drive operational improvements.</w:t>
      </w:r>
    </w:p>
    <w:p xmlns:wp14="http://schemas.microsoft.com/office/word/2010/wordml" w14:paraId="0B5442D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Led client governance, transformation discussions, service improvements and capability-building initiatives.</w:t>
      </w:r>
    </w:p>
    <w:p xmlns:wp14="http://schemas.microsoft.com/office/word/2010/wordml" w14:paraId="4BA15397" wp14:textId="77777777">
      <w:r>
        <w:rPr>
          <w:b/>
        </w:rPr>
        <w:t>Operations Manager / Assistant Manager – Operations | Marble Box Solutions | Kolkata | Jan 2014 – Jul 2020</w:t>
      </w:r>
    </w:p>
    <w:p xmlns:wp14="http://schemas.microsoft.com/office/word/2010/wordml" w14:paraId="5BA8040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Managed Agency and Broker lifecycle operations across multiple clients and teams, with responsibility for SLA/KPI performance, productivity, quality, client communication and escalation management.</w:t>
      </w:r>
    </w:p>
    <w:p xmlns:wp14="http://schemas.microsoft.com/office/word/2010/wordml" w14:paraId="148BBD37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Coordinated with Training, Transition, Quality and Delivery teams for operational readiness; conducted coaching and training interventions based on capability needs.</w:t>
      </w:r>
    </w:p>
    <w:p xmlns:wp14="http://schemas.microsoft.com/office/word/2010/wordml" w14:paraId="649057C4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Established and optimised operational processes and frameworks to improve service continuity, accuracy, compliance and service effectiveness.</w:t>
      </w:r>
    </w:p>
    <w:p xmlns:wp14="http://schemas.microsoft.com/office/word/2010/wordml" w14:paraId="3A717EF3" wp14:textId="77777777">
      <w:r>
        <w:rPr>
          <w:b/>
        </w:rPr>
        <w:t>Earlier Experience</w:t>
      </w:r>
    </w:p>
    <w:p xmlns:wp14="http://schemas.microsoft.com/office/word/2010/wordml" w14:paraId="41455CAE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Senior Online Media Executive – Engagement Media Pvt. Ltd. | 2017</w:t>
      </w:r>
    </w:p>
    <w:p xmlns:wp14="http://schemas.microsoft.com/office/word/2010/wordml" w14:paraId="35B57CD7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Process Associate – Veridian Solutions | US P&amp;C Insurance | 2012–2013</w:t>
      </w:r>
    </w:p>
    <w:p xmlns:wp14="http://schemas.microsoft.com/office/word/2010/wordml" w14:paraId="39D231DA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Associate Consultant – Finance &amp; Accounts – Capgemini India | 2011–2012</w:t>
      </w:r>
    </w:p>
    <w:p xmlns:wp14="http://schemas.microsoft.com/office/word/2010/wordml" w14:paraId="38B73D73" wp14:textId="77777777">
      <w:pPr>
        <w:pStyle w:val="Heading1"/>
        <w:spacing w:before="100" w:after="40"/>
      </w:pPr>
      <w:r>
        <w:t>KEY BUSINESS IMPACT</w:t>
      </w:r>
    </w:p>
    <w:p xmlns:wp14="http://schemas.microsoft.com/office/word/2010/wordml" w14:paraId="4CF547F1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GenAI integration in renewal policy comparison for 30 clients: 70% efficiency improvement, capacity equivalent to 12 FTEs/week and $350K annualised savings.</w:t>
      </w:r>
    </w:p>
    <w:p xmlns:wp14="http://schemas.microsoft.com/office/word/2010/wordml" w14:paraId="483FB8CC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GenAI integration in Direct Bill Reconciliation for 75 clients: 58% efficiency improvement, capacity equivalent to 10 FTEs/week and $34K annualised savings.</w:t>
      </w:r>
    </w:p>
    <w:p xmlns:wp14="http://schemas.microsoft.com/office/word/2010/wordml" w14:paraId="0AF1BE2F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DMAIC-led policy issuance improvement: TAT reduced from 10.8 to 6.52 days (35.9% improvement), process capability improved from 2.6σ to 3.8σ and $3.8M annualised savings.</w:t>
      </w:r>
    </w:p>
    <w:p xmlns:wp14="http://schemas.microsoft.com/office/word/2010/wordml" w14:paraId="212E1233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Quality transformation across 125 P&amp;C insurance clients: accuracy improved from 95% to 99%, process capability improved from 3.33σ to 4.6σ, QA coverage reduced by 70% and $365,100 annual savings.</w:t>
      </w:r>
    </w:p>
    <w:p xmlns:wp14="http://schemas.microsoft.com/office/word/2010/wordml" w14:paraId="0F52D196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Lean-based improvement in non-client delivery work: cycle time reduced by 28%, efficiency improved from 24% to 42% and 3.5 hours/person/week saved.</w:t>
      </w:r>
    </w:p>
    <w:p xmlns:wp14="http://schemas.microsoft.com/office/word/2010/wordml" w14:paraId="229C630D" wp14:textId="77777777">
      <w:pPr>
        <w:pStyle w:val="Heading1"/>
        <w:spacing w:before="100" w:after="40"/>
      </w:pPr>
      <w:r>
        <w:t>EDUCATION &amp; CERTIFICATIONS</w:t>
      </w:r>
    </w:p>
    <w:p xmlns:wp14="http://schemas.microsoft.com/office/word/2010/wordml" w14:paraId="6D85DC3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MBA – Finance | Institute of Management &amp; Development, New Delhi | 2008–2010</w:t>
      </w:r>
    </w:p>
    <w:p xmlns:wp14="http://schemas.microsoft.com/office/word/2010/wordml" w14:paraId="0C90E16D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B.Com – Accountancy | S.S. College, Bokaro | 2003–2006</w:t>
      </w:r>
    </w:p>
    <w:p xmlns:wp14="http://schemas.microsoft.com/office/word/2010/wordml" w14:paraId="553F26EA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Lean Six Sigma Black Belt</w:t>
      </w:r>
    </w:p>
    <w:p xmlns:wp14="http://schemas.microsoft.com/office/word/2010/wordml" w14:paraId="3159F7FC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Agile Project Management</w:t>
      </w:r>
    </w:p>
    <w:p xmlns:wp14="http://schemas.microsoft.com/office/word/2010/wordml" w14:paraId="0087D062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Power BI</w:t>
      </w:r>
    </w:p>
    <w:p xmlns:wp14="http://schemas.microsoft.com/office/word/2010/wordml" w14:paraId="39C2918B" wp14:textId="77777777">
      <w:pPr>
        <w:spacing w:after="20"/>
        <w:ind w:left="259" w:hanging="173"/>
      </w:pPr>
      <w:r>
        <w:rPr>
          <w:b/>
        </w:rPr>
        <w:t xml:space="preserve">• </w:t>
      </w:r>
      <w:r>
        <w:t>AI Tools &amp; ChatGPT Workshop</w:t>
      </w:r>
    </w:p>
    <w:p xmlns:wp14="http://schemas.microsoft.com/office/word/2010/wordml" w14:paraId="76698B30" wp14:textId="77777777">
      <w:pPr>
        <w:pStyle w:val="Heading1"/>
        <w:spacing w:before="100" w:after="40"/>
      </w:pPr>
      <w:r>
        <w:t>IMPORTANT SCREENING VALIDATION</w:t>
      </w:r>
    </w:p>
    <w:p xmlns:wp14="http://schemas.microsoft.com/office/word/2010/wordml" w14:paraId="750BE2D7" wp14:textId="77777777">
      <w:r>
        <w:rPr>
          <w:i/>
        </w:rPr>
        <w:t>Note: The profile above strengthens only areas supported by the CV. Formal ownership of BB/GB/YB programme mobilisation, examinations/certification administration, Process Excellence community events, and Bloom Flow/idea-platform replication should be added only after the candidate's specific screening answers are documented.</w:t>
      </w:r>
    </w:p>
    <w:sectPr w:rsidRPr="0006063C" w:rsidR="00FC693F" w:rsidSect="00034616"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DA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2A54506F-F327-45D2-ADC4-8B920B66A6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asciiTheme="majorHAnsi" w:hAnsiTheme="majorHAnsi" w:eastAsiaTheme="majorEastAsia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asciiTheme="majorHAnsi" w:hAnsiTheme="majorHAnsi" w:eastAsiaTheme="majorEastAsia" w:cstheme="majorBidi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DD0662-5757-45B4-B8BE-94ECB63E32A9}"/>
</file>

<file path=customXml/itemProps3.xml><?xml version="1.0" encoding="utf-8"?>
<ds:datastoreItem xmlns:ds="http://schemas.openxmlformats.org/officeDocument/2006/customXml" ds:itemID="{11FDCB45-ABCF-4771-B89F-B457E4F42698}"/>
</file>

<file path=customXml/itemProps4.xml><?xml version="1.0" encoding="utf-8"?>
<ds:datastoreItem xmlns:ds="http://schemas.openxmlformats.org/officeDocument/2006/customXml" ds:itemID="{5C3D983F-E151-42E5-A09E-44273F0CBDE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Anarghya P</cp:lastModifiedBy>
  <cp:revision>2</cp:revision>
  <dcterms:created xsi:type="dcterms:W3CDTF">2013-12-23T23:15:00Z</dcterms:created>
  <dcterms:modified xsi:type="dcterms:W3CDTF">2026-08-12T10:18:23Z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0x0101002A915219D706AD49BD9FD697C2734D69</vt:lpwstr>
  </property>
</Properties>
</file>