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7D43F0A3" wp14:textId="77777777">
      <w:pPr>
        <w:pStyle w:val="Heading1"/>
      </w:pPr>
      <w:bookmarkStart w:name="VAIBHAV WAGHMARE" w:id="1"/>
      <w:bookmarkEnd w:id="1"/>
      <w:r>
        <w:rPr>
          <w:b w:val="0"/>
        </w:rPr>
      </w:r>
      <w:r>
        <w:rPr>
          <w:color w:val="1F3864"/>
        </w:rPr>
        <w:t>VAIBHAV</w:t>
      </w:r>
      <w:r>
        <w:rPr>
          <w:color w:val="1F3864"/>
          <w:spacing w:val="39"/>
        </w:rPr>
        <w:t> </w:t>
      </w:r>
      <w:r>
        <w:rPr>
          <w:color w:val="1F3864"/>
          <w:spacing w:val="-2"/>
        </w:rPr>
        <w:t>WAGHMARE</w:t>
      </w:r>
    </w:p>
    <w:p xmlns:wp14="http://schemas.microsoft.com/office/word/2010/wordml" w14:paraId="5C00D8EA" wp14:textId="77777777">
      <w:pPr>
        <w:spacing w:before="113"/>
        <w:ind w:left="13" w:right="10" w:firstLine="0"/>
        <w:jc w:val="center"/>
        <w:rPr>
          <w:b/>
          <w:sz w:val="21"/>
        </w:rPr>
      </w:pPr>
      <w:r>
        <w:rPr>
          <w:b/>
          <w:color w:val="111111"/>
          <w:sz w:val="21"/>
        </w:rPr>
        <w:t>Senior</w:t>
      </w:r>
      <w:r>
        <w:rPr>
          <w:b/>
          <w:color w:val="111111"/>
          <w:spacing w:val="6"/>
          <w:sz w:val="21"/>
        </w:rPr>
        <w:t> </w:t>
      </w:r>
      <w:r>
        <w:rPr>
          <w:b/>
          <w:color w:val="111111"/>
          <w:sz w:val="21"/>
        </w:rPr>
        <w:t>Fund</w:t>
      </w:r>
      <w:r>
        <w:rPr>
          <w:b/>
          <w:color w:val="111111"/>
          <w:spacing w:val="6"/>
          <w:sz w:val="21"/>
        </w:rPr>
        <w:t> </w:t>
      </w:r>
      <w:r>
        <w:rPr>
          <w:b/>
          <w:color w:val="111111"/>
          <w:sz w:val="21"/>
        </w:rPr>
        <w:t>Accountant</w:t>
      </w:r>
      <w:r>
        <w:rPr>
          <w:b/>
          <w:color w:val="111111"/>
          <w:spacing w:val="6"/>
          <w:sz w:val="21"/>
        </w:rPr>
        <w:t> </w:t>
      </w:r>
      <w:r>
        <w:rPr>
          <w:b/>
          <w:color w:val="111111"/>
          <w:sz w:val="21"/>
        </w:rPr>
        <w:t>|</w:t>
      </w:r>
      <w:r>
        <w:rPr>
          <w:b/>
          <w:color w:val="111111"/>
          <w:spacing w:val="6"/>
          <w:sz w:val="21"/>
        </w:rPr>
        <w:t> </w:t>
      </w:r>
      <w:r>
        <w:rPr>
          <w:b/>
          <w:color w:val="111111"/>
          <w:sz w:val="21"/>
        </w:rPr>
        <w:t>Daily</w:t>
      </w:r>
      <w:r>
        <w:rPr>
          <w:b/>
          <w:color w:val="111111"/>
          <w:spacing w:val="7"/>
          <w:sz w:val="21"/>
        </w:rPr>
        <w:t> </w:t>
      </w:r>
      <w:r>
        <w:rPr>
          <w:b/>
          <w:color w:val="111111"/>
          <w:sz w:val="21"/>
        </w:rPr>
        <w:t>NAV</w:t>
      </w:r>
      <w:r>
        <w:rPr>
          <w:b/>
          <w:color w:val="111111"/>
          <w:spacing w:val="6"/>
          <w:sz w:val="21"/>
        </w:rPr>
        <w:t> </w:t>
      </w:r>
      <w:r>
        <w:rPr>
          <w:b/>
          <w:color w:val="111111"/>
          <w:sz w:val="21"/>
        </w:rPr>
        <w:t>&amp;</w:t>
      </w:r>
      <w:r>
        <w:rPr>
          <w:b/>
          <w:color w:val="111111"/>
          <w:spacing w:val="6"/>
          <w:sz w:val="21"/>
        </w:rPr>
        <w:t> </w:t>
      </w:r>
      <w:r>
        <w:rPr>
          <w:b/>
          <w:color w:val="111111"/>
          <w:sz w:val="21"/>
        </w:rPr>
        <w:t>Checker</w:t>
      </w:r>
      <w:r>
        <w:rPr>
          <w:b/>
          <w:color w:val="111111"/>
          <w:spacing w:val="6"/>
          <w:sz w:val="21"/>
        </w:rPr>
        <w:t> </w:t>
      </w:r>
      <w:r>
        <w:rPr>
          <w:b/>
          <w:color w:val="111111"/>
          <w:sz w:val="21"/>
        </w:rPr>
        <w:t>Sign-Off</w:t>
      </w:r>
      <w:r>
        <w:rPr>
          <w:b/>
          <w:color w:val="111111"/>
          <w:spacing w:val="7"/>
          <w:sz w:val="21"/>
        </w:rPr>
        <w:t> </w:t>
      </w:r>
      <w:r>
        <w:rPr>
          <w:b/>
          <w:color w:val="111111"/>
          <w:sz w:val="21"/>
        </w:rPr>
        <w:t>·</w:t>
      </w:r>
      <w:r>
        <w:rPr>
          <w:b/>
          <w:color w:val="111111"/>
          <w:spacing w:val="6"/>
          <w:sz w:val="21"/>
        </w:rPr>
        <w:t> </w:t>
      </w:r>
      <w:r>
        <w:rPr>
          <w:b/>
          <w:color w:val="111111"/>
          <w:sz w:val="21"/>
        </w:rPr>
        <w:t>Reconciliation</w:t>
      </w:r>
      <w:r>
        <w:rPr>
          <w:b/>
          <w:color w:val="111111"/>
          <w:spacing w:val="6"/>
          <w:sz w:val="21"/>
        </w:rPr>
        <w:t> </w:t>
      </w:r>
      <w:r>
        <w:rPr>
          <w:b/>
          <w:color w:val="111111"/>
          <w:sz w:val="21"/>
        </w:rPr>
        <w:t>·</w:t>
      </w:r>
      <w:r>
        <w:rPr>
          <w:b/>
          <w:color w:val="111111"/>
          <w:spacing w:val="6"/>
          <w:sz w:val="21"/>
        </w:rPr>
        <w:t> </w:t>
      </w:r>
      <w:r>
        <w:rPr>
          <w:b/>
          <w:color w:val="111111"/>
          <w:sz w:val="21"/>
        </w:rPr>
        <w:t>Multi-Asset</w:t>
      </w:r>
      <w:r>
        <w:rPr>
          <w:b/>
          <w:color w:val="111111"/>
          <w:spacing w:val="6"/>
          <w:sz w:val="21"/>
        </w:rPr>
        <w:t> </w:t>
      </w:r>
      <w:r>
        <w:rPr>
          <w:b/>
          <w:color w:val="111111"/>
          <w:sz w:val="21"/>
        </w:rPr>
        <w:t>Portfolio</w:t>
      </w:r>
      <w:r>
        <w:rPr>
          <w:b/>
          <w:color w:val="111111"/>
          <w:spacing w:val="7"/>
          <w:sz w:val="21"/>
        </w:rPr>
        <w:t> </w:t>
      </w:r>
      <w:r>
        <w:rPr>
          <w:b/>
          <w:color w:val="111111"/>
          <w:spacing w:val="-2"/>
          <w:sz w:val="21"/>
        </w:rPr>
        <w:t>Accounting</w:t>
      </w:r>
    </w:p>
    <w:p xmlns:wp14="http://schemas.microsoft.com/office/word/2010/wordml" w:rsidP="1C99BC42" w14:paraId="4BFD306C" wp14:textId="496D4310">
      <w:pPr>
        <w:pStyle w:val="Normal"/>
        <w:spacing w:before="86" w:line="273" w:lineRule="auto"/>
        <w:ind w:left="502" w:right="499" w:firstLine="0"/>
        <w:jc w:val="center"/>
        <w:rPr>
          <w:sz w:val="19"/>
          <w:szCs w:val="19"/>
        </w:rPr>
      </w:pPr>
      <w:r w:rsidRPr="1C99BC42" w:rsidR="1C99BC42">
        <w:rPr>
          <w:color w:val="444444"/>
          <w:sz w:val="19"/>
          <w:szCs w:val="19"/>
        </w:rPr>
        <w:t>+91</w:t>
      </w:r>
      <w:r w:rsidRPr="1C99BC42" w:rsidR="1C99BC42">
        <w:rPr>
          <w:color w:val="444444"/>
          <w:spacing w:val="17"/>
          <w:sz w:val="19"/>
          <w:szCs w:val="19"/>
        </w:rPr>
        <w:t xml:space="preserve"> </w:t>
      </w:r>
      <w:r w:rsidRPr="1C99BC42" w:rsidR="1C99BC42">
        <w:rPr>
          <w:rFonts w:ascii="Calibri" w:hAnsi="Calibri" w:eastAsia="Calibri" w:cs="Calibri"/>
          <w:b w:val="0"/>
          <w:bCs w:val="0"/>
          <w:i w:val="0"/>
          <w:iCs w:val="0"/>
          <w:caps w:val="0"/>
          <w:smallCaps w:val="0"/>
          <w:noProof w:val="0"/>
          <w:color w:val="42526E"/>
          <w:sz w:val="18"/>
          <w:szCs w:val="18"/>
          <w:lang w:val="en-US"/>
        </w:rPr>
        <w:t xml:space="preserve">9145635599 </w:t>
      </w:r>
      <w:r w:rsidRPr="1C99BC42" w:rsidR="1C99BC42">
        <w:rPr>
          <w:rFonts w:ascii="Calibri" w:hAnsi="Calibri" w:eastAsia="Calibri" w:cs="Calibri"/>
          <w:noProof w:val="0"/>
          <w:sz w:val="19"/>
          <w:szCs w:val="19"/>
          <w:lang w:val="en-US"/>
        </w:rPr>
        <w:t xml:space="preserve"> </w:t>
      </w:r>
      <w:r w:rsidRPr="1C99BC42" w:rsidR="1C99BC42">
        <w:rPr>
          <w:color w:val="444444"/>
          <w:sz w:val="19"/>
          <w:szCs w:val="19"/>
        </w:rPr>
        <w:t>·</w:t>
      </w:r>
      <w:r w:rsidRPr="1C99BC42" w:rsidR="1C99BC42">
        <w:rPr>
          <w:rFonts w:ascii="Calibri" w:hAnsi="Calibri" w:eastAsia="Calibri" w:cs="Calibri"/>
          <w:b w:val="0"/>
          <w:bCs w:val="0"/>
          <w:i w:val="0"/>
          <w:iCs w:val="0"/>
          <w:caps w:val="0"/>
          <w:smallCaps w:val="0"/>
          <w:noProof w:val="0"/>
          <w:color w:val="42526E"/>
          <w:sz w:val="18"/>
          <w:szCs w:val="18"/>
          <w:lang w:val="en-US"/>
        </w:rPr>
        <w:t xml:space="preserve"> wvaibhav91@gmail.com</w:t>
      </w:r>
      <w:r w:rsidRPr="1C99BC42" w:rsidR="1C99BC42">
        <w:rPr>
          <w:color w:val="444444"/>
          <w:sz w:val="19"/>
          <w:szCs w:val="19"/>
        </w:rPr>
        <w:t xml:space="preserve"> </w:t>
      </w:r>
      <w:r w:rsidRPr="1C99BC42" w:rsidR="1C99BC42">
        <w:rPr>
          <w:color w:val="444444"/>
          <w:sz w:val="19"/>
          <w:szCs w:val="19"/>
        </w:rPr>
        <w:t>·</w:t>
      </w:r>
      <w:r w:rsidRPr="1C99BC42" w:rsidR="1C99BC42">
        <w:rPr>
          <w:color w:val="444444"/>
          <w:sz w:val="19"/>
          <w:szCs w:val="19"/>
        </w:rPr>
        <w:t xml:space="preserve"> </w:t>
      </w:r>
      <w:r w:rsidRPr="1C99BC42" w:rsidR="1C99BC42">
        <w:rPr>
          <w:color w:val="444444"/>
          <w:sz w:val="19"/>
          <w:szCs w:val="19"/>
        </w:rPr>
        <w:t>Pune,</w:t>
      </w:r>
      <w:r w:rsidRPr="1C99BC42" w:rsidR="1C99BC42">
        <w:rPr>
          <w:color w:val="444444"/>
          <w:sz w:val="19"/>
          <w:szCs w:val="19"/>
        </w:rPr>
        <w:t xml:space="preserve"> </w:t>
      </w:r>
      <w:r w:rsidRPr="1C99BC42" w:rsidR="1C99BC42">
        <w:rPr>
          <w:color w:val="444444"/>
          <w:sz w:val="19"/>
          <w:szCs w:val="19"/>
        </w:rPr>
        <w:t>Maharashtra</w:t>
      </w:r>
      <w:r w:rsidRPr="1C99BC42" w:rsidR="1C99BC42">
        <w:rPr>
          <w:color w:val="444444"/>
          <w:sz w:val="19"/>
          <w:szCs w:val="19"/>
        </w:rPr>
        <w:t xml:space="preserve"> </w:t>
      </w:r>
      <w:r w:rsidRPr="1C99BC42" w:rsidR="1C99BC42">
        <w:rPr>
          <w:color w:val="444444"/>
          <w:sz w:val="19"/>
          <w:szCs w:val="19"/>
        </w:rPr>
        <w:t>411020</w:t>
      </w:r>
      <w:r w:rsidRPr="1C99BC42" w:rsidR="1C99BC42">
        <w:rPr>
          <w:color w:val="444444"/>
          <w:sz w:val="19"/>
          <w:szCs w:val="19"/>
        </w:rPr>
        <w:t xml:space="preserve"> </w:t>
      </w:r>
      <w:r w:rsidRPr="1C99BC42" w:rsidR="1C99BC42">
        <w:rPr>
          <w:color w:val="444444"/>
          <w:sz w:val="19"/>
          <w:szCs w:val="19"/>
        </w:rPr>
        <w:t>·</w:t>
      </w:r>
      <w:r w:rsidRPr="1C99BC42" w:rsidR="1C99BC42">
        <w:rPr>
          <w:color w:val="444444"/>
          <w:sz w:val="19"/>
          <w:szCs w:val="19"/>
        </w:rPr>
        <w:t xml:space="preserve"> </w:t>
      </w:r>
      <w:r w:rsidRPr="1C99BC42" w:rsidR="1C99BC42">
        <w:rPr>
          <w:color w:val="444444"/>
          <w:sz w:val="19"/>
          <w:szCs w:val="19"/>
        </w:rPr>
        <w:t>Open</w:t>
      </w:r>
      <w:r w:rsidRPr="1C99BC42" w:rsidR="1C99BC42">
        <w:rPr>
          <w:color w:val="444444"/>
          <w:sz w:val="19"/>
          <w:szCs w:val="19"/>
        </w:rPr>
        <w:t xml:space="preserve"> </w:t>
      </w:r>
      <w:r w:rsidRPr="1C99BC42" w:rsidR="1C99BC42">
        <w:rPr>
          <w:color w:val="444444"/>
          <w:sz w:val="19"/>
          <w:szCs w:val="19"/>
        </w:rPr>
        <w:t>to</w:t>
      </w:r>
      <w:r w:rsidRPr="1C99BC42" w:rsidR="1C99BC42">
        <w:rPr>
          <w:color w:val="444444"/>
          <w:sz w:val="19"/>
          <w:szCs w:val="19"/>
        </w:rPr>
        <w:t xml:space="preserve"> </w:t>
      </w:r>
      <w:r w:rsidRPr="1C99BC42" w:rsidR="1C99BC42">
        <w:rPr>
          <w:color w:val="444444"/>
          <w:sz w:val="19"/>
          <w:szCs w:val="19"/>
        </w:rPr>
        <w:t>relocation</w:t>
      </w:r>
      <w:r w:rsidRPr="1C99BC42" w:rsidR="1C99BC42">
        <w:rPr>
          <w:color w:val="444444"/>
          <w:sz w:val="19"/>
          <w:szCs w:val="19"/>
        </w:rPr>
        <w:t xml:space="preserve"> </w:t>
      </w:r>
      <w:r w:rsidRPr="1C99BC42" w:rsidR="1C99BC42">
        <w:rPr>
          <w:color w:val="444444"/>
          <w:sz w:val="19"/>
          <w:szCs w:val="19"/>
        </w:rPr>
        <w:t>linkedin.com/in/vaibhav-</w:t>
      </w:r>
      <w:r w:rsidRPr="1C99BC42" w:rsidR="1C99BC42">
        <w:rPr>
          <w:color w:val="444444"/>
          <w:sz w:val="19"/>
          <w:szCs w:val="19"/>
        </w:rPr>
        <w:t>waghmare-7a54a41a6</w:t>
      </w:r>
    </w:p>
    <w:p xmlns:wp14="http://schemas.microsoft.com/office/word/2010/wordml" w14:paraId="413F5DCB" wp14:textId="77777777">
      <w:pPr>
        <w:pStyle w:val="BodyText"/>
        <w:spacing w:before="5"/>
        <w:ind w:left="0" w:firstLine="0"/>
        <w:rPr>
          <w:sz w:val="6"/>
        </w:rPr>
      </w:pPr>
      <w:r>
        <w:rPr>
          <w:sz w:val="6"/>
        </w:rPr>
        <mc:AlternateContent>
          <mc:Choice Requires="wps">
            <w:drawing>
              <wp:anchor xmlns:wp14="http://schemas.microsoft.com/office/word/2010/wordprocessingDrawing" distT="0" distB="0" distL="0" distR="0" simplePos="0" relativeHeight="487587840" behindDoc="1" locked="0" layoutInCell="1" allowOverlap="1" wp14:anchorId="437C5D57" wp14:editId="7777777">
                <wp:simplePos x="0" y="0"/>
                <wp:positionH relativeFrom="page">
                  <wp:posOffset>616200</wp:posOffset>
                </wp:positionH>
                <wp:positionV relativeFrom="paragraph">
                  <wp:posOffset>65016</wp:posOffset>
                </wp:positionV>
                <wp:extent cx="6327775" cy="1524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327775" cy="15240"/>
                        </a:xfrm>
                        <a:custGeom>
                          <a:avLst/>
                          <a:gdLst/>
                          <a:ahLst/>
                          <a:cxnLst/>
                          <a:rect l="l" t="t" r="r" b="b"/>
                          <a:pathLst>
                            <a:path w="6327775" h="15240">
                              <a:moveTo>
                                <a:pt x="6327600" y="15240"/>
                              </a:moveTo>
                              <a:lnTo>
                                <a:pt x="0" y="15240"/>
                              </a:lnTo>
                              <a:lnTo>
                                <a:pt x="0" y="0"/>
                              </a:lnTo>
                              <a:lnTo>
                                <a:pt x="6327600" y="0"/>
                              </a:lnTo>
                              <a:lnTo>
                                <a:pt x="6327600" y="15240"/>
                              </a:lnTo>
                              <a:close/>
                            </a:path>
                          </a:pathLst>
                        </a:custGeom>
                        <a:solidFill>
                          <a:srgbClr val="1F3864"/>
                        </a:solidFill>
                      </wps:spPr>
                      <wps:bodyPr wrap="square" lIns="0" tIns="0" rIns="0" bIns="0" rtlCol="0">
                        <a:prstTxWarp prst="textNoShape">
                          <a:avLst/>
                        </a:prstTxWarp>
                        <a:noAutofit/>
                      </wps:bodyPr>
                    </wps:wsp>
                  </a:graphicData>
                </a:graphic>
              </wp:anchor>
            </w:drawing>
          </mc:Choice>
          <mc:Fallback>
            <w:pict w14:anchorId="01C81B24">
              <v:rect id="docshape1" style="position:absolute;margin-left:48.519688pt;margin-top:5.119404pt;width:498.236236pt;height:1.2pt;mso-position-horizontal-relative:page;mso-position-vertical-relative:paragraph;z-index:-15728640;mso-wrap-distance-left:0;mso-wrap-distance-right:0" filled="true" fillcolor="#1f3864" stroked="false">
                <v:fill type="solid"/>
                <w10:wrap type="topAndBottom"/>
              </v:rect>
            </w:pict>
          </mc:Fallback>
        </mc:AlternateContent>
      </w:r>
    </w:p>
    <w:p xmlns:wp14="http://schemas.microsoft.com/office/word/2010/wordml" w14:paraId="672A6659" wp14:textId="77777777">
      <w:pPr>
        <w:pStyle w:val="BodyText"/>
        <w:spacing w:before="38"/>
        <w:ind w:left="0" w:firstLine="0"/>
        <w:rPr>
          <w:sz w:val="19"/>
        </w:rPr>
      </w:pPr>
    </w:p>
    <w:p xmlns:wp14="http://schemas.microsoft.com/office/word/2010/wordml" w14:paraId="07DAC14A" wp14:textId="77777777">
      <w:pPr>
        <w:pStyle w:val="Heading3"/>
      </w:pPr>
      <w:bookmarkStart w:name="PROFESSIONAL SUMMARY" w:id="2"/>
      <w:bookmarkEnd w:id="2"/>
      <w:r>
        <w:rPr>
          <w:b w:val="0"/>
        </w:rPr>
      </w:r>
      <w:r>
        <w:rPr>
          <w:color w:val="1F3864"/>
          <w:spacing w:val="11"/>
        </w:rPr>
        <w:t>PROFESSIONAL</w:t>
      </w:r>
      <w:r>
        <w:rPr>
          <w:color w:val="1F3864"/>
          <w:spacing w:val="75"/>
        </w:rPr>
        <w:t> </w:t>
      </w:r>
      <w:r>
        <w:rPr>
          <w:color w:val="1F3864"/>
          <w:spacing w:val="-2"/>
        </w:rPr>
        <w:t>SUMMARY</w:t>
      </w:r>
    </w:p>
    <w:p xmlns:wp14="http://schemas.microsoft.com/office/word/2010/wordml" w14:paraId="6608B2A6" wp14:textId="77777777">
      <w:pPr>
        <w:pStyle w:val="BodyText"/>
        <w:spacing w:before="9"/>
        <w:ind w:left="0" w:firstLine="0"/>
        <w:rPr>
          <w:b/>
          <w:sz w:val="3"/>
        </w:rPr>
      </w:pPr>
      <w:r>
        <w:rPr>
          <w:b/>
          <w:sz w:val="3"/>
        </w:rPr>
        <mc:AlternateContent>
          <mc:Choice Requires="wps">
            <w:drawing>
              <wp:anchor xmlns:wp14="http://schemas.microsoft.com/office/word/2010/wordprocessingDrawing" distT="0" distB="0" distL="0" distR="0" simplePos="0" relativeHeight="487588352" behindDoc="1" locked="0" layoutInCell="1" allowOverlap="1" wp14:anchorId="4BD314F8" wp14:editId="7777777">
                <wp:simplePos x="0" y="0"/>
                <wp:positionH relativeFrom="page">
                  <wp:posOffset>616200</wp:posOffset>
                </wp:positionH>
                <wp:positionV relativeFrom="paragraph">
                  <wp:posOffset>44622</wp:posOffset>
                </wp:positionV>
                <wp:extent cx="6327775" cy="889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327775" cy="8890"/>
                        </a:xfrm>
                        <a:custGeom>
                          <a:avLst/>
                          <a:gdLst/>
                          <a:ahLst/>
                          <a:cxnLst/>
                          <a:rect l="l" t="t" r="r" b="b"/>
                          <a:pathLst>
                            <a:path w="6327775" h="8890">
                              <a:moveTo>
                                <a:pt x="6327600" y="8572"/>
                              </a:moveTo>
                              <a:lnTo>
                                <a:pt x="0" y="8572"/>
                              </a:lnTo>
                              <a:lnTo>
                                <a:pt x="0" y="0"/>
                              </a:lnTo>
                              <a:lnTo>
                                <a:pt x="6327600" y="0"/>
                              </a:lnTo>
                              <a:lnTo>
                                <a:pt x="6327600" y="8572"/>
                              </a:lnTo>
                              <a:close/>
                            </a:path>
                          </a:pathLst>
                        </a:custGeom>
                        <a:solidFill>
                          <a:srgbClr val="B3C6E6"/>
                        </a:solidFill>
                      </wps:spPr>
                      <wps:bodyPr wrap="square" lIns="0" tIns="0" rIns="0" bIns="0" rtlCol="0">
                        <a:prstTxWarp prst="textNoShape">
                          <a:avLst/>
                        </a:prstTxWarp>
                        <a:noAutofit/>
                      </wps:bodyPr>
                    </wps:wsp>
                  </a:graphicData>
                </a:graphic>
              </wp:anchor>
            </w:drawing>
          </mc:Choice>
          <mc:Fallback>
            <w:pict w14:anchorId="655BB73C">
              <v:rect id="docshape2" style="position:absolute;margin-left:48.519688pt;margin-top:3.513609pt;width:498.236236pt;height:.675pt;mso-position-horizontal-relative:page;mso-position-vertical-relative:paragraph;z-index:-15728128;mso-wrap-distance-left:0;mso-wrap-distance-right:0" filled="true" fillcolor="#b3c6e6" stroked="false">
                <v:fill type="solid"/>
                <w10:wrap type="topAndBottom"/>
              </v:rect>
            </w:pict>
          </mc:Fallback>
        </mc:AlternateContent>
      </w:r>
    </w:p>
    <w:p xmlns:wp14="http://schemas.microsoft.com/office/word/2010/wordml" w14:paraId="220775D1" wp14:textId="77777777">
      <w:pPr>
        <w:pStyle w:val="BodyText"/>
        <w:spacing w:before="132" w:line="288" w:lineRule="auto"/>
        <w:ind w:left="120" w:right="278" w:firstLine="0"/>
      </w:pPr>
      <w:r>
        <w:rPr>
          <w:color w:val="212121"/>
        </w:rPr>
        <w:t>Senior Fund Accountant with 4+ years in fund accounting and loan operations, including 3+ years of daily NAV computation and checker sign-off for multi-asset institutional funds with AUM of USD 500M–4B, across fund of funds, master-feeder, closed-ended and open-ended structures, plus a year in syndicated bank loan operations. Hands-on across the full GAV to NAV process, month-end and year-end close, and GAAP/IFRS financial</w:t>
      </w:r>
      <w:r>
        <w:rPr>
          <w:color w:val="212121"/>
          <w:spacing w:val="80"/>
          <w:w w:val="150"/>
        </w:rPr>
        <w:t> </w:t>
      </w:r>
      <w:r>
        <w:rPr>
          <w:color w:val="212121"/>
        </w:rPr>
        <w:t>statements, working within maker-checker controls and each fund's governing documents. CFA Level I candidate with working knowledge of hedge fund and private equity fund accounting. Immediate joiner with nil notice period; open to Pune, Mumbai, Bengaluru and Hyderabad.</w:t>
      </w:r>
    </w:p>
    <w:p xmlns:wp14="http://schemas.microsoft.com/office/word/2010/wordml" w14:paraId="6478A9B5" wp14:textId="77777777">
      <w:pPr>
        <w:pStyle w:val="Heading3"/>
        <w:spacing w:before="237"/>
      </w:pPr>
      <w:bookmarkStart w:name="CORE SKILLS" w:id="3"/>
      <w:bookmarkEnd w:id="3"/>
      <w:r>
        <w:rPr>
          <w:b w:val="0"/>
        </w:rPr>
      </w:r>
      <w:r>
        <w:rPr>
          <w:color w:val="1F3864"/>
          <w:spacing w:val="9"/>
          <w:w w:val="105"/>
        </w:rPr>
        <w:t>CORE</w:t>
      </w:r>
      <w:r>
        <w:rPr>
          <w:color w:val="1F3864"/>
          <w:spacing w:val="15"/>
          <w:w w:val="105"/>
        </w:rPr>
        <w:t> </w:t>
      </w:r>
      <w:r>
        <w:rPr>
          <w:color w:val="1F3864"/>
          <w:spacing w:val="8"/>
          <w:w w:val="105"/>
        </w:rPr>
        <w:t>SKILLS</w:t>
      </w:r>
    </w:p>
    <w:p xmlns:wp14="http://schemas.microsoft.com/office/word/2010/wordml" w14:paraId="7373147E" wp14:textId="77777777">
      <w:pPr>
        <w:pStyle w:val="BodyText"/>
        <w:spacing w:before="9"/>
        <w:ind w:left="0" w:firstLine="0"/>
        <w:rPr>
          <w:b/>
          <w:sz w:val="3"/>
        </w:rPr>
      </w:pPr>
      <w:r>
        <w:rPr>
          <w:b/>
          <w:sz w:val="3"/>
        </w:rPr>
        <mc:AlternateContent>
          <mc:Choice Requires="wps">
            <w:drawing>
              <wp:anchor xmlns:wp14="http://schemas.microsoft.com/office/word/2010/wordprocessingDrawing" distT="0" distB="0" distL="0" distR="0" simplePos="0" relativeHeight="487588864" behindDoc="1" locked="0" layoutInCell="1" allowOverlap="1" wp14:anchorId="49FB22BE" wp14:editId="7777777">
                <wp:simplePos x="0" y="0"/>
                <wp:positionH relativeFrom="page">
                  <wp:posOffset>616200</wp:posOffset>
                </wp:positionH>
                <wp:positionV relativeFrom="paragraph">
                  <wp:posOffset>44402</wp:posOffset>
                </wp:positionV>
                <wp:extent cx="6327775" cy="889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327775" cy="8890"/>
                        </a:xfrm>
                        <a:custGeom>
                          <a:avLst/>
                          <a:gdLst/>
                          <a:ahLst/>
                          <a:cxnLst/>
                          <a:rect l="l" t="t" r="r" b="b"/>
                          <a:pathLst>
                            <a:path w="6327775" h="8890">
                              <a:moveTo>
                                <a:pt x="6327600" y="8572"/>
                              </a:moveTo>
                              <a:lnTo>
                                <a:pt x="0" y="8572"/>
                              </a:lnTo>
                              <a:lnTo>
                                <a:pt x="0" y="0"/>
                              </a:lnTo>
                              <a:lnTo>
                                <a:pt x="6327600" y="0"/>
                              </a:lnTo>
                              <a:lnTo>
                                <a:pt x="6327600" y="8572"/>
                              </a:lnTo>
                              <a:close/>
                            </a:path>
                          </a:pathLst>
                        </a:custGeom>
                        <a:solidFill>
                          <a:srgbClr val="B3C6E6"/>
                        </a:solidFill>
                      </wps:spPr>
                      <wps:bodyPr wrap="square" lIns="0" tIns="0" rIns="0" bIns="0" rtlCol="0">
                        <a:prstTxWarp prst="textNoShape">
                          <a:avLst/>
                        </a:prstTxWarp>
                        <a:noAutofit/>
                      </wps:bodyPr>
                    </wps:wsp>
                  </a:graphicData>
                </a:graphic>
              </wp:anchor>
            </w:drawing>
          </mc:Choice>
          <mc:Fallback>
            <w:pict w14:anchorId="701DA909">
              <v:rect id="docshape3" style="position:absolute;margin-left:48.519688pt;margin-top:3.496254pt;width:498.236236pt;height:.675pt;mso-position-horizontal-relative:page;mso-position-vertical-relative:paragraph;z-index:-15727616;mso-wrap-distance-left:0;mso-wrap-distance-right:0" filled="true" fillcolor="#b3c6e6" stroked="false">
                <v:fill type="solid"/>
                <w10:wrap type="topAndBottom"/>
              </v:rect>
            </w:pict>
          </mc:Fallback>
        </mc:AlternateContent>
      </w:r>
    </w:p>
    <w:p xmlns:wp14="http://schemas.microsoft.com/office/word/2010/wordml" w14:paraId="6D2828F3" wp14:textId="77777777">
      <w:pPr>
        <w:pStyle w:val="BodyText"/>
        <w:spacing w:before="132" w:line="288" w:lineRule="auto"/>
        <w:ind w:left="120" w:right="278" w:firstLine="0"/>
      </w:pPr>
      <w:r>
        <w:rPr>
          <w:b/>
          <w:color w:val="111111"/>
        </w:rPr>
        <w:t>Fund Accounting: </w:t>
      </w:r>
      <w:r>
        <w:rPr>
          <w:color w:val="212121"/>
        </w:rPr>
        <w:t>Daily NAV Computation &amp; Checker Sign-Off · Cash, Position &amp; GL Reconciliation &amp; Break Resolution · Independent Price Verification · Fair Value Hierarchy (ASC 820 / IFRS 13) · Corporate Actions · Subscriptions, Redemptions &amp; Capital Activity · Fee &amp; Expense Accruals · Month-End / Year-End Close · Financial Statements (GAAP / IFRS) · Internal Controls, Operational Risk &amp; Audit Support · UAT &amp; Process Improvement</w:t>
      </w:r>
    </w:p>
    <w:p xmlns:wp14="http://schemas.microsoft.com/office/word/2010/wordml" w14:paraId="10E61AD6" wp14:textId="77777777">
      <w:pPr>
        <w:pStyle w:val="BodyText"/>
        <w:spacing w:before="101" w:line="288" w:lineRule="auto"/>
        <w:ind w:left="120" w:right="201" w:firstLine="0"/>
        <w:jc w:val="both"/>
      </w:pPr>
      <w:r>
        <w:rPr>
          <w:b/>
          <w:color w:val="111111"/>
        </w:rPr>
        <w:t>Fund Structures &amp; Assets: </w:t>
      </w:r>
      <w:r>
        <w:rPr>
          <w:color w:val="212121"/>
        </w:rPr>
        <w:t>Fund of Funds · Master-Feeder · Open-Ended · Closed-Ended · SPVs · Multi-Class Share Class Structures · GP/LP Structures · Equities · Fixed Income · Derivatives (Exchange-Traded &amp; OTC) · FX Forwards · Syndicated Bank Loans</w:t>
      </w:r>
    </w:p>
    <w:p xmlns:wp14="http://schemas.microsoft.com/office/word/2010/wordml" w14:paraId="1A550060" wp14:textId="77777777">
      <w:pPr>
        <w:pStyle w:val="BodyText"/>
        <w:spacing w:before="103" w:line="288" w:lineRule="auto"/>
        <w:ind w:left="120" w:right="283" w:firstLine="0"/>
      </w:pPr>
      <w:r>
        <w:rPr>
          <w:b/>
          <w:color w:val="111111"/>
        </w:rPr>
        <w:t>Alternatives &amp; Private Credit: </w:t>
      </w:r>
      <w:r>
        <w:rPr>
          <w:color w:val="212121"/>
        </w:rPr>
        <w:t>Hedge Fund &amp; Private Equity Fund Accounting · Syndicated Loan &amp; Private Credit Administration · Drawdowns, Rollovers &amp; Paydowns · Commitment Tracking · NAV Equalisation &amp; High Water Marks · Management &amp; Incentive Fees · Capital Calls, Distributions &amp; Carried Interest Waterfalls · Investor Allocations · IRR, TVPI, DPI, MOIC · ASC 946 Financial Statements</w:t>
      </w:r>
    </w:p>
    <w:p xmlns:wp14="http://schemas.microsoft.com/office/word/2010/wordml" w14:paraId="141665A3" wp14:textId="77777777">
      <w:pPr>
        <w:pStyle w:val="BodyText"/>
        <w:spacing w:before="101" w:line="288" w:lineRule="auto"/>
        <w:ind w:left="120" w:right="283" w:firstLine="0"/>
      </w:pPr>
      <w:r>
        <w:rPr>
          <w:b/>
          <w:color w:val="111111"/>
        </w:rPr>
        <w:t>Systems: </w:t>
      </w:r>
      <w:r>
        <w:rPr>
          <w:color w:val="212121"/>
        </w:rPr>
        <w:t>Invest One (FIS) · Fund Master Custody · TLMP · IDS · OWM · Bloomberg Terminal · Wall Street Office (WSO) · Loan IQ (LIQ) · Advanced Excel</w:t>
      </w:r>
    </w:p>
    <w:p xmlns:wp14="http://schemas.microsoft.com/office/word/2010/wordml" w14:paraId="168A1AEF" wp14:textId="77777777">
      <w:pPr>
        <w:pStyle w:val="Heading3"/>
        <w:spacing w:before="241"/>
      </w:pPr>
      <w:bookmarkStart w:name="PROFESSIONAL EXPERIENCE" w:id="4"/>
      <w:bookmarkEnd w:id="4"/>
      <w:r>
        <w:rPr>
          <w:b w:val="0"/>
        </w:rPr>
      </w:r>
      <w:r>
        <w:rPr>
          <w:color w:val="1F3864"/>
          <w:spacing w:val="11"/>
        </w:rPr>
        <w:t>PROFESSIONAL</w:t>
      </w:r>
      <w:r>
        <w:rPr>
          <w:color w:val="1F3864"/>
          <w:spacing w:val="75"/>
        </w:rPr>
        <w:t> </w:t>
      </w:r>
      <w:r>
        <w:rPr>
          <w:color w:val="1F3864"/>
          <w:spacing w:val="-2"/>
        </w:rPr>
        <w:t>EXPERIENCE</w:t>
      </w:r>
    </w:p>
    <w:p xmlns:wp14="http://schemas.microsoft.com/office/word/2010/wordml" w14:paraId="50201B5C" wp14:textId="77777777">
      <w:pPr>
        <w:pStyle w:val="BodyText"/>
        <w:spacing w:before="9"/>
        <w:ind w:left="0" w:firstLine="0"/>
        <w:rPr>
          <w:b/>
          <w:sz w:val="3"/>
        </w:rPr>
      </w:pPr>
      <w:r>
        <w:rPr>
          <w:b/>
          <w:sz w:val="3"/>
        </w:rPr>
        <mc:AlternateContent>
          <mc:Choice Requires="wps">
            <w:drawing>
              <wp:anchor xmlns:wp14="http://schemas.microsoft.com/office/word/2010/wordprocessingDrawing" distT="0" distB="0" distL="0" distR="0" simplePos="0" relativeHeight="487589376" behindDoc="1" locked="0" layoutInCell="1" allowOverlap="1" wp14:anchorId="282F2CEA" wp14:editId="7777777">
                <wp:simplePos x="0" y="0"/>
                <wp:positionH relativeFrom="page">
                  <wp:posOffset>616200</wp:posOffset>
                </wp:positionH>
                <wp:positionV relativeFrom="paragraph">
                  <wp:posOffset>44794</wp:posOffset>
                </wp:positionV>
                <wp:extent cx="6327775" cy="889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327775" cy="8890"/>
                        </a:xfrm>
                        <a:custGeom>
                          <a:avLst/>
                          <a:gdLst/>
                          <a:ahLst/>
                          <a:cxnLst/>
                          <a:rect l="l" t="t" r="r" b="b"/>
                          <a:pathLst>
                            <a:path w="6327775" h="8890">
                              <a:moveTo>
                                <a:pt x="6327600" y="8572"/>
                              </a:moveTo>
                              <a:lnTo>
                                <a:pt x="0" y="8572"/>
                              </a:lnTo>
                              <a:lnTo>
                                <a:pt x="0" y="0"/>
                              </a:lnTo>
                              <a:lnTo>
                                <a:pt x="6327600" y="0"/>
                              </a:lnTo>
                              <a:lnTo>
                                <a:pt x="6327600" y="8572"/>
                              </a:lnTo>
                              <a:close/>
                            </a:path>
                          </a:pathLst>
                        </a:custGeom>
                        <a:solidFill>
                          <a:srgbClr val="B3C6E6"/>
                        </a:solidFill>
                      </wps:spPr>
                      <wps:bodyPr wrap="square" lIns="0" tIns="0" rIns="0" bIns="0" rtlCol="0">
                        <a:prstTxWarp prst="textNoShape">
                          <a:avLst/>
                        </a:prstTxWarp>
                        <a:noAutofit/>
                      </wps:bodyPr>
                    </wps:wsp>
                  </a:graphicData>
                </a:graphic>
              </wp:anchor>
            </w:drawing>
          </mc:Choice>
          <mc:Fallback>
            <w:pict w14:anchorId="7F404EA3">
              <v:rect id="docshape4" style="position:absolute;margin-left:48.519688pt;margin-top:3.527101pt;width:498.236236pt;height:.675pt;mso-position-horizontal-relative:page;mso-position-vertical-relative:paragraph;z-index:-15727104;mso-wrap-distance-left:0;mso-wrap-distance-right:0" filled="true" fillcolor="#b3c6e6" stroked="false">
                <v:fill type="solid"/>
                <w10:wrap type="topAndBottom"/>
              </v:rect>
            </w:pict>
          </mc:Fallback>
        </mc:AlternateContent>
      </w:r>
    </w:p>
    <w:p xmlns:wp14="http://schemas.microsoft.com/office/word/2010/wordml" w14:paraId="58040FED" wp14:textId="77777777">
      <w:pPr>
        <w:spacing w:before="220"/>
        <w:ind w:left="120" w:right="0" w:firstLine="0"/>
        <w:jc w:val="left"/>
        <w:rPr>
          <w:b/>
          <w:sz w:val="23"/>
        </w:rPr>
      </w:pPr>
      <w:bookmarkStart w:name="Senior Fund Accountant | Fund Accountant" w:id="5"/>
      <w:bookmarkEnd w:id="5"/>
      <w:r>
        <w:rPr/>
      </w:r>
      <w:r>
        <w:rPr>
          <w:b/>
          <w:color w:val="0F2446"/>
          <w:sz w:val="23"/>
        </w:rPr>
        <w:t>Senior</w:t>
      </w:r>
      <w:r>
        <w:rPr>
          <w:b/>
          <w:color w:val="0F2446"/>
          <w:spacing w:val="9"/>
          <w:sz w:val="23"/>
        </w:rPr>
        <w:t> </w:t>
      </w:r>
      <w:r>
        <w:rPr>
          <w:b/>
          <w:color w:val="0F2446"/>
          <w:sz w:val="23"/>
        </w:rPr>
        <w:t>Fund</w:t>
      </w:r>
      <w:r>
        <w:rPr>
          <w:b/>
          <w:color w:val="0F2446"/>
          <w:spacing w:val="12"/>
          <w:sz w:val="23"/>
        </w:rPr>
        <w:t> </w:t>
      </w:r>
      <w:r>
        <w:rPr>
          <w:b/>
          <w:color w:val="0F2446"/>
          <w:sz w:val="23"/>
        </w:rPr>
        <w:t>Accountant</w:t>
      </w:r>
      <w:r>
        <w:rPr>
          <w:b/>
          <w:color w:val="0F2446"/>
          <w:spacing w:val="11"/>
          <w:sz w:val="23"/>
        </w:rPr>
        <w:t> </w:t>
      </w:r>
      <w:r>
        <w:rPr>
          <w:b/>
          <w:color w:val="0F2446"/>
          <w:sz w:val="23"/>
        </w:rPr>
        <w:t>|</w:t>
      </w:r>
      <w:r>
        <w:rPr>
          <w:b/>
          <w:color w:val="0F2446"/>
          <w:spacing w:val="12"/>
          <w:sz w:val="23"/>
        </w:rPr>
        <w:t> </w:t>
      </w:r>
      <w:r>
        <w:rPr>
          <w:b/>
          <w:color w:val="0F2446"/>
          <w:sz w:val="23"/>
        </w:rPr>
        <w:t>Fund</w:t>
      </w:r>
      <w:r>
        <w:rPr>
          <w:b/>
          <w:color w:val="0F2446"/>
          <w:spacing w:val="12"/>
          <w:sz w:val="23"/>
        </w:rPr>
        <w:t> </w:t>
      </w:r>
      <w:r>
        <w:rPr>
          <w:b/>
          <w:color w:val="0F2446"/>
          <w:sz w:val="23"/>
        </w:rPr>
        <w:t>Accountant</w:t>
      </w:r>
      <w:r>
        <w:rPr>
          <w:b/>
          <w:color w:val="0F2446"/>
          <w:spacing w:val="11"/>
          <w:sz w:val="23"/>
        </w:rPr>
        <w:t> </w:t>
      </w:r>
      <w:r>
        <w:rPr>
          <w:b/>
          <w:color w:val="0F2446"/>
          <w:sz w:val="23"/>
        </w:rPr>
        <w:t>—</w:t>
      </w:r>
      <w:r>
        <w:rPr>
          <w:b/>
          <w:color w:val="0F2446"/>
          <w:spacing w:val="12"/>
          <w:sz w:val="23"/>
        </w:rPr>
        <w:t> </w:t>
      </w:r>
      <w:r>
        <w:rPr>
          <w:b/>
          <w:color w:val="0F2446"/>
          <w:sz w:val="23"/>
        </w:rPr>
        <w:t>Northern</w:t>
      </w:r>
      <w:r>
        <w:rPr>
          <w:b/>
          <w:color w:val="0F2446"/>
          <w:spacing w:val="12"/>
          <w:sz w:val="23"/>
        </w:rPr>
        <w:t> </w:t>
      </w:r>
      <w:r>
        <w:rPr>
          <w:b/>
          <w:color w:val="0F2446"/>
          <w:sz w:val="23"/>
        </w:rPr>
        <w:t>Trust</w:t>
      </w:r>
      <w:r>
        <w:rPr>
          <w:b/>
          <w:color w:val="0F2446"/>
          <w:spacing w:val="11"/>
          <w:sz w:val="23"/>
        </w:rPr>
        <w:t> </w:t>
      </w:r>
      <w:r>
        <w:rPr>
          <w:b/>
          <w:color w:val="0F2446"/>
          <w:sz w:val="23"/>
        </w:rPr>
        <w:t>·</w:t>
      </w:r>
      <w:r>
        <w:rPr>
          <w:b/>
          <w:color w:val="0F2446"/>
          <w:spacing w:val="12"/>
          <w:sz w:val="23"/>
        </w:rPr>
        <w:t> </w:t>
      </w:r>
      <w:r>
        <w:rPr>
          <w:b/>
          <w:color w:val="0F2446"/>
          <w:sz w:val="23"/>
        </w:rPr>
        <w:t>Pune,</w:t>
      </w:r>
      <w:r>
        <w:rPr>
          <w:b/>
          <w:color w:val="0F2446"/>
          <w:spacing w:val="12"/>
          <w:sz w:val="23"/>
        </w:rPr>
        <w:t> </w:t>
      </w:r>
      <w:r>
        <w:rPr>
          <w:b/>
          <w:color w:val="0F2446"/>
          <w:spacing w:val="-2"/>
          <w:sz w:val="23"/>
        </w:rPr>
        <w:t>India</w:t>
      </w:r>
    </w:p>
    <w:p xmlns:wp14="http://schemas.microsoft.com/office/word/2010/wordml" w14:paraId="127F9E8B" wp14:textId="77777777">
      <w:pPr>
        <w:spacing w:before="58"/>
        <w:ind w:left="120" w:right="0" w:firstLine="0"/>
        <w:jc w:val="left"/>
        <w:rPr>
          <w:b/>
          <w:sz w:val="20"/>
        </w:rPr>
      </w:pPr>
      <w:r>
        <w:rPr>
          <w:b/>
          <w:sz w:val="20"/>
        </w:rPr>
        <w:t>Apr</w:t>
      </w:r>
      <w:r>
        <w:rPr>
          <w:b/>
          <w:spacing w:val="-2"/>
          <w:sz w:val="20"/>
        </w:rPr>
        <w:t> </w:t>
      </w:r>
      <w:r>
        <w:rPr>
          <w:b/>
          <w:sz w:val="20"/>
        </w:rPr>
        <w:t>2023 –</w:t>
      </w:r>
      <w:r>
        <w:rPr>
          <w:b/>
          <w:spacing w:val="-1"/>
          <w:sz w:val="20"/>
        </w:rPr>
        <w:t> </w:t>
      </w:r>
      <w:r>
        <w:rPr>
          <w:b/>
          <w:sz w:val="20"/>
        </w:rPr>
        <w:t>Jun </w:t>
      </w:r>
      <w:r>
        <w:rPr>
          <w:b/>
          <w:spacing w:val="-4"/>
          <w:sz w:val="20"/>
        </w:rPr>
        <w:t>2026</w:t>
      </w:r>
    </w:p>
    <w:p xmlns:wp14="http://schemas.microsoft.com/office/word/2010/wordml" w14:paraId="3E8CC8FD" wp14:textId="77777777">
      <w:pPr>
        <w:spacing w:before="152"/>
        <w:ind w:left="120" w:right="0" w:firstLine="0"/>
        <w:jc w:val="left"/>
        <w:rPr>
          <w:i/>
          <w:sz w:val="21"/>
        </w:rPr>
      </w:pPr>
      <w:r>
        <w:rPr>
          <w:i/>
          <w:color w:val="545454"/>
          <w:sz w:val="21"/>
        </w:rPr>
        <w:t>Promoted</w:t>
      </w:r>
      <w:r>
        <w:rPr>
          <w:i/>
          <w:color w:val="545454"/>
          <w:spacing w:val="6"/>
          <w:sz w:val="21"/>
        </w:rPr>
        <w:t> </w:t>
      </w:r>
      <w:r>
        <w:rPr>
          <w:i/>
          <w:color w:val="545454"/>
          <w:sz w:val="21"/>
        </w:rPr>
        <w:t>to</w:t>
      </w:r>
      <w:r>
        <w:rPr>
          <w:i/>
          <w:color w:val="545454"/>
          <w:spacing w:val="6"/>
          <w:sz w:val="21"/>
        </w:rPr>
        <w:t> </w:t>
      </w:r>
      <w:r>
        <w:rPr>
          <w:i/>
          <w:color w:val="545454"/>
          <w:sz w:val="21"/>
        </w:rPr>
        <w:t>Senior</w:t>
      </w:r>
      <w:r>
        <w:rPr>
          <w:i/>
          <w:color w:val="545454"/>
          <w:spacing w:val="6"/>
          <w:sz w:val="21"/>
        </w:rPr>
        <w:t> </w:t>
      </w:r>
      <w:r>
        <w:rPr>
          <w:i/>
          <w:color w:val="545454"/>
          <w:sz w:val="21"/>
        </w:rPr>
        <w:t>Fund</w:t>
      </w:r>
      <w:r>
        <w:rPr>
          <w:i/>
          <w:color w:val="545454"/>
          <w:spacing w:val="6"/>
          <w:sz w:val="21"/>
        </w:rPr>
        <w:t> </w:t>
      </w:r>
      <w:r>
        <w:rPr>
          <w:i/>
          <w:color w:val="545454"/>
          <w:sz w:val="21"/>
        </w:rPr>
        <w:t>Accountant</w:t>
      </w:r>
      <w:r>
        <w:rPr>
          <w:i/>
          <w:color w:val="545454"/>
          <w:spacing w:val="7"/>
          <w:sz w:val="21"/>
        </w:rPr>
        <w:t> </w:t>
      </w:r>
      <w:r>
        <w:rPr>
          <w:i/>
          <w:color w:val="545454"/>
          <w:sz w:val="21"/>
        </w:rPr>
        <w:t>in</w:t>
      </w:r>
      <w:r>
        <w:rPr>
          <w:i/>
          <w:color w:val="545454"/>
          <w:spacing w:val="6"/>
          <w:sz w:val="21"/>
        </w:rPr>
        <w:t> </w:t>
      </w:r>
      <w:r>
        <w:rPr>
          <w:i/>
          <w:color w:val="545454"/>
          <w:sz w:val="21"/>
        </w:rPr>
        <w:t>Jan</w:t>
      </w:r>
      <w:r>
        <w:rPr>
          <w:i/>
          <w:color w:val="545454"/>
          <w:spacing w:val="6"/>
          <w:sz w:val="21"/>
        </w:rPr>
        <w:t> </w:t>
      </w:r>
      <w:r>
        <w:rPr>
          <w:i/>
          <w:color w:val="545454"/>
          <w:spacing w:val="-4"/>
          <w:sz w:val="21"/>
        </w:rPr>
        <w:t>2026</w:t>
      </w:r>
    </w:p>
    <w:p xmlns:wp14="http://schemas.microsoft.com/office/word/2010/wordml" w14:paraId="0B213CE4" wp14:textId="77777777">
      <w:pPr>
        <w:pStyle w:val="ListParagraph"/>
        <w:numPr>
          <w:ilvl w:val="0"/>
          <w:numId w:val="1"/>
        </w:numPr>
        <w:tabs>
          <w:tab w:val="left" w:leader="none" w:pos="330"/>
        </w:tabs>
        <w:spacing w:before="156" w:after="0" w:line="288" w:lineRule="auto"/>
        <w:ind w:left="330" w:right="297" w:hanging="210"/>
        <w:jc w:val="left"/>
        <w:rPr>
          <w:sz w:val="21"/>
        </w:rPr>
      </w:pPr>
      <w:r>
        <w:rPr>
          <w:color w:val="212121"/>
          <w:sz w:val="21"/>
        </w:rPr>
        <w:t>Owned daily NAV computation and checker sign-off for 5–8 institutional funds, AUM USD 500M–4B, including closed-ended and fund of funds vehicles, reviewing 50+ transactions a day under the GAV/NAV operating procedure and maker-checker controls.</w:t>
      </w:r>
    </w:p>
    <w:p xmlns:wp14="http://schemas.microsoft.com/office/word/2010/wordml" w14:paraId="39C81DF0" wp14:textId="77777777">
      <w:pPr>
        <w:pStyle w:val="ListParagraph"/>
        <w:numPr>
          <w:ilvl w:val="0"/>
          <w:numId w:val="1"/>
        </w:numPr>
        <w:tabs>
          <w:tab w:val="left" w:leader="none" w:pos="330"/>
        </w:tabs>
        <w:spacing w:before="87" w:after="0" w:line="288" w:lineRule="auto"/>
        <w:ind w:left="330" w:right="155" w:hanging="210"/>
        <w:jc w:val="left"/>
        <w:rPr>
          <w:sz w:val="21"/>
        </w:rPr>
      </w:pPr>
      <w:r>
        <w:rPr>
          <w:color w:val="212121"/>
          <w:sz w:val="21"/>
        </w:rPr>
        <w:t>Reconciled cash, positions and general ledger daily against custodian and broker records, clearing breaks ahead</w:t>
      </w:r>
      <w:r>
        <w:rPr>
          <w:color w:val="212121"/>
          <w:spacing w:val="80"/>
          <w:sz w:val="21"/>
        </w:rPr>
        <w:t> </w:t>
      </w:r>
      <w:r>
        <w:rPr>
          <w:color w:val="212121"/>
          <w:sz w:val="21"/>
        </w:rPr>
        <w:t>of NAV release with 100% completion within SLA and escalating aged items with root-cause commentary.</w:t>
      </w:r>
    </w:p>
    <w:p xmlns:wp14="http://schemas.microsoft.com/office/word/2010/wordml" w14:paraId="70C57C38" wp14:textId="77777777">
      <w:pPr>
        <w:pStyle w:val="ListParagraph"/>
        <w:numPr>
          <w:ilvl w:val="0"/>
          <w:numId w:val="1"/>
        </w:numPr>
        <w:tabs>
          <w:tab w:val="left" w:leader="none" w:pos="330"/>
        </w:tabs>
        <w:spacing w:before="88" w:after="0" w:line="288" w:lineRule="auto"/>
        <w:ind w:left="330" w:right="246" w:hanging="210"/>
        <w:jc w:val="left"/>
        <w:rPr>
          <w:sz w:val="21"/>
        </w:rPr>
      </w:pPr>
      <w:r>
        <w:rPr>
          <w:color w:val="212121"/>
          <w:sz w:val="21"/>
        </w:rPr>
        <w:t>Redesigned the monthly management, custody and expense fee process to remove manual handoffs, postings and</w:t>
      </w:r>
      <w:r>
        <w:rPr>
          <w:color w:val="212121"/>
          <w:spacing w:val="21"/>
          <w:sz w:val="21"/>
        </w:rPr>
        <w:t> </w:t>
      </w:r>
      <w:r>
        <w:rPr>
          <w:color w:val="212121"/>
          <w:sz w:val="21"/>
        </w:rPr>
        <w:t>repeat</w:t>
      </w:r>
      <w:r>
        <w:rPr>
          <w:color w:val="212121"/>
          <w:spacing w:val="21"/>
          <w:sz w:val="21"/>
        </w:rPr>
        <w:t> </w:t>
      </w:r>
      <w:r>
        <w:rPr>
          <w:color w:val="212121"/>
          <w:sz w:val="21"/>
        </w:rPr>
        <w:t>calculations,</w:t>
      </w:r>
      <w:r>
        <w:rPr>
          <w:color w:val="212121"/>
          <w:spacing w:val="21"/>
          <w:sz w:val="21"/>
        </w:rPr>
        <w:t> </w:t>
      </w:r>
      <w:r>
        <w:rPr>
          <w:color w:val="212121"/>
          <w:sz w:val="21"/>
        </w:rPr>
        <w:t>cutting</w:t>
      </w:r>
      <w:r>
        <w:rPr>
          <w:color w:val="212121"/>
          <w:spacing w:val="21"/>
          <w:sz w:val="21"/>
        </w:rPr>
        <w:t> </w:t>
      </w:r>
      <w:r>
        <w:rPr>
          <w:color w:val="212121"/>
          <w:sz w:val="21"/>
        </w:rPr>
        <w:t>processing</w:t>
      </w:r>
      <w:r>
        <w:rPr>
          <w:color w:val="212121"/>
          <w:spacing w:val="21"/>
          <w:sz w:val="21"/>
        </w:rPr>
        <w:t> </w:t>
      </w:r>
      <w:r>
        <w:rPr>
          <w:color w:val="212121"/>
          <w:sz w:val="21"/>
        </w:rPr>
        <w:t>time</w:t>
      </w:r>
      <w:r>
        <w:rPr>
          <w:color w:val="212121"/>
          <w:spacing w:val="21"/>
          <w:sz w:val="21"/>
        </w:rPr>
        <w:t> </w:t>
      </w:r>
      <w:r>
        <w:rPr>
          <w:color w:val="212121"/>
          <w:sz w:val="21"/>
        </w:rPr>
        <w:t>by</w:t>
      </w:r>
      <w:r>
        <w:rPr>
          <w:color w:val="212121"/>
          <w:spacing w:val="21"/>
          <w:sz w:val="21"/>
        </w:rPr>
        <w:t> </w:t>
      </w:r>
      <w:r>
        <w:rPr>
          <w:color w:val="212121"/>
          <w:sz w:val="21"/>
        </w:rPr>
        <w:t>50%</w:t>
      </w:r>
      <w:r>
        <w:rPr>
          <w:color w:val="212121"/>
          <w:spacing w:val="21"/>
          <w:sz w:val="21"/>
        </w:rPr>
        <w:t> </w:t>
      </w:r>
      <w:r>
        <w:rPr>
          <w:color w:val="212121"/>
          <w:sz w:val="21"/>
        </w:rPr>
        <w:t>against</w:t>
      </w:r>
      <w:r>
        <w:rPr>
          <w:color w:val="212121"/>
          <w:spacing w:val="21"/>
          <w:sz w:val="21"/>
        </w:rPr>
        <w:t> </w:t>
      </w:r>
      <w:r>
        <w:rPr>
          <w:color w:val="212121"/>
          <w:sz w:val="21"/>
        </w:rPr>
        <w:t>the</w:t>
      </w:r>
      <w:r>
        <w:rPr>
          <w:color w:val="212121"/>
          <w:spacing w:val="21"/>
          <w:sz w:val="21"/>
        </w:rPr>
        <w:t> </w:t>
      </w:r>
      <w:r>
        <w:rPr>
          <w:color w:val="212121"/>
          <w:sz w:val="21"/>
        </w:rPr>
        <w:t>earlier</w:t>
      </w:r>
      <w:r>
        <w:rPr>
          <w:color w:val="212121"/>
          <w:spacing w:val="21"/>
          <w:sz w:val="21"/>
        </w:rPr>
        <w:t> </w:t>
      </w:r>
      <w:r>
        <w:rPr>
          <w:color w:val="212121"/>
          <w:sz w:val="21"/>
        </w:rPr>
        <w:t>manual</w:t>
      </w:r>
      <w:r>
        <w:rPr>
          <w:color w:val="212121"/>
          <w:spacing w:val="21"/>
          <w:sz w:val="21"/>
        </w:rPr>
        <w:t> </w:t>
      </w:r>
      <w:r>
        <w:rPr>
          <w:color w:val="212121"/>
          <w:sz w:val="21"/>
        </w:rPr>
        <w:t>routine,</w:t>
      </w:r>
      <w:r>
        <w:rPr>
          <w:color w:val="212121"/>
          <w:spacing w:val="21"/>
          <w:sz w:val="21"/>
        </w:rPr>
        <w:t> </w:t>
      </w:r>
      <w:r>
        <w:rPr>
          <w:color w:val="212121"/>
          <w:sz w:val="21"/>
        </w:rPr>
        <w:t>and</w:t>
      </w:r>
      <w:r>
        <w:rPr>
          <w:color w:val="212121"/>
          <w:spacing w:val="21"/>
          <w:sz w:val="21"/>
        </w:rPr>
        <w:t> </w:t>
      </w:r>
      <w:r>
        <w:rPr>
          <w:color w:val="212121"/>
          <w:sz w:val="21"/>
        </w:rPr>
        <w:t>took</w:t>
      </w:r>
      <w:r>
        <w:rPr>
          <w:color w:val="212121"/>
          <w:spacing w:val="21"/>
          <w:sz w:val="21"/>
        </w:rPr>
        <w:t> </w:t>
      </w:r>
      <w:r>
        <w:rPr>
          <w:color w:val="212121"/>
          <w:sz w:val="21"/>
        </w:rPr>
        <w:t>part</w:t>
      </w:r>
      <w:r>
        <w:rPr>
          <w:color w:val="212121"/>
          <w:spacing w:val="21"/>
          <w:sz w:val="21"/>
        </w:rPr>
        <w:t> </w:t>
      </w:r>
      <w:r>
        <w:rPr>
          <w:color w:val="212121"/>
          <w:sz w:val="21"/>
        </w:rPr>
        <w:t>in user acceptance testing before rollout.</w:t>
      </w:r>
    </w:p>
    <w:p xmlns:wp14="http://schemas.microsoft.com/office/word/2010/wordml" w14:paraId="77F49492" wp14:textId="77777777">
      <w:pPr>
        <w:pStyle w:val="ListParagraph"/>
        <w:numPr>
          <w:ilvl w:val="0"/>
          <w:numId w:val="1"/>
        </w:numPr>
        <w:tabs>
          <w:tab w:val="left" w:leader="none" w:pos="330"/>
        </w:tabs>
        <w:spacing w:before="88" w:after="0" w:line="288" w:lineRule="auto"/>
        <w:ind w:left="330" w:right="457" w:hanging="210"/>
        <w:jc w:val="left"/>
        <w:rPr>
          <w:sz w:val="21"/>
        </w:rPr>
      </w:pPr>
      <w:r>
        <w:rPr>
          <w:color w:val="212121"/>
          <w:sz w:val="21"/>
        </w:rPr>
        <w:t>Led month-end and year-end close for 3+ clients, covering GAAP and IFRS financial statements, trial balance review, disclosure validation and audit coordination.</w:t>
      </w:r>
    </w:p>
    <w:p xmlns:wp14="http://schemas.microsoft.com/office/word/2010/wordml" w14:paraId="0A37501D" wp14:textId="77777777">
      <w:pPr>
        <w:pStyle w:val="ListParagraph"/>
        <w:spacing w:after="0" w:line="288" w:lineRule="auto"/>
        <w:jc w:val="left"/>
        <w:rPr>
          <w:sz w:val="21"/>
        </w:rPr>
        <w:sectPr>
          <w:type w:val="continuous"/>
          <w:pgSz w:w="11910" w:h="16840" w:orient="portrait"/>
          <w:pgMar w:top="860" w:right="850" w:bottom="280" w:left="850"/>
          <w:cols w:num="1"/>
        </w:sectPr>
      </w:pPr>
    </w:p>
    <w:p xmlns:wp14="http://schemas.microsoft.com/office/word/2010/wordml" w14:paraId="288F82D4" wp14:textId="77777777">
      <w:pPr>
        <w:pStyle w:val="ListParagraph"/>
        <w:numPr>
          <w:ilvl w:val="0"/>
          <w:numId w:val="1"/>
        </w:numPr>
        <w:tabs>
          <w:tab w:val="left" w:leader="none" w:pos="330"/>
        </w:tabs>
        <w:spacing w:before="83" w:after="0" w:line="288" w:lineRule="auto"/>
        <w:ind w:left="330" w:right="310" w:hanging="210"/>
        <w:jc w:val="both"/>
        <w:rPr>
          <w:sz w:val="21"/>
        </w:rPr>
      </w:pPr>
      <w:r>
        <w:rPr>
          <w:color w:val="212121"/>
          <w:sz w:val="21"/>
        </w:rPr>
        <w:t>Acted as first point of contact for escalations on allocated funds, and issued daily NAV packs, NAV reports and benchmark reports to clients and the home-location team within agreed timelines.</w:t>
      </w:r>
    </w:p>
    <w:p xmlns:wp14="http://schemas.microsoft.com/office/word/2010/wordml" w14:paraId="06EB4589" wp14:textId="77777777">
      <w:pPr>
        <w:pStyle w:val="ListParagraph"/>
        <w:numPr>
          <w:ilvl w:val="0"/>
          <w:numId w:val="1"/>
        </w:numPr>
        <w:tabs>
          <w:tab w:val="left" w:leader="none" w:pos="330"/>
        </w:tabs>
        <w:spacing w:before="88" w:after="0" w:line="288" w:lineRule="auto"/>
        <w:ind w:left="330" w:right="246" w:hanging="210"/>
        <w:jc w:val="both"/>
        <w:rPr>
          <w:sz w:val="21"/>
        </w:rPr>
      </w:pPr>
      <w:r>
        <w:rPr>
          <w:color w:val="212121"/>
          <w:sz w:val="21"/>
        </w:rPr>
        <w:t>Ran independent price verification against Bloomberg and third-party vendor feeds, and assessed and booked corporate actions — dividends, mergers, rights issues, capital reductions and restructures — ahead of ex-date, evaluating the NAV and financial statement impact of each.</w:t>
      </w:r>
    </w:p>
    <w:p xmlns:wp14="http://schemas.microsoft.com/office/word/2010/wordml" w14:paraId="031F6787" wp14:textId="77777777">
      <w:pPr>
        <w:pStyle w:val="ListParagraph"/>
        <w:numPr>
          <w:ilvl w:val="0"/>
          <w:numId w:val="1"/>
        </w:numPr>
        <w:tabs>
          <w:tab w:val="left" w:leader="none" w:pos="330"/>
        </w:tabs>
        <w:spacing w:before="87" w:after="0" w:line="288" w:lineRule="auto"/>
        <w:ind w:left="330" w:right="503" w:hanging="210"/>
        <w:jc w:val="both"/>
        <w:rPr>
          <w:sz w:val="21"/>
        </w:rPr>
      </w:pPr>
      <w:r>
        <w:rPr>
          <w:color w:val="212121"/>
          <w:sz w:val="21"/>
        </w:rPr>
        <w:t>Processed subscriptions and redemptions with daily reconciliation of the transfer agent registry report, and handled ex-dividend valuation, income distribution, share class accounting and daily FX forward and hedge verification across multi-currency portfolios.</w:t>
      </w:r>
    </w:p>
    <w:p xmlns:wp14="http://schemas.microsoft.com/office/word/2010/wordml" w:rsidP="1C99BC42" wp14:textId="77777777" w14:paraId="2F6A5AB7">
      <w:pPr>
        <w:pStyle w:val="ListParagraph"/>
        <w:numPr>
          <w:ilvl w:val="0"/>
          <w:numId w:val="1"/>
        </w:numPr>
        <w:tabs>
          <w:tab w:val="left" w:leader="none" w:pos="330"/>
        </w:tabs>
        <w:spacing w:before="88" w:after="0" w:line="288" w:lineRule="auto"/>
        <w:ind w:left="330" w:right="141" w:hanging="210"/>
        <w:jc w:val="left"/>
        <w:rPr>
          <w:noProof w:val="0"/>
          <w:lang w:val="en-US"/>
        </w:rPr>
      </w:pPr>
      <w:r w:rsidRPr="1C99BC42" w:rsidR="1C99BC42">
        <w:rPr>
          <w:color w:val="212121"/>
          <w:sz w:val="21"/>
          <w:szCs w:val="21"/>
        </w:rPr>
        <w:t>Built</w:t>
      </w:r>
      <w:r w:rsidRPr="1C99BC42" w:rsidR="1C99BC42">
        <w:rPr>
          <w:color w:val="212121"/>
          <w:spacing w:val="22"/>
          <w:sz w:val="21"/>
          <w:szCs w:val="21"/>
        </w:rPr>
        <w:t xml:space="preserve"> </w:t>
      </w:r>
      <w:r w:rsidRPr="1C99BC42" w:rsidR="1C99BC42">
        <w:rPr>
          <w:color w:val="212121"/>
          <w:sz w:val="21"/>
          <w:szCs w:val="21"/>
        </w:rPr>
        <w:t>and</w:t>
      </w:r>
      <w:r w:rsidRPr="1C99BC42" w:rsidR="1C99BC42">
        <w:rPr>
          <w:color w:val="212121"/>
          <w:spacing w:val="22"/>
          <w:sz w:val="21"/>
          <w:szCs w:val="21"/>
        </w:rPr>
        <w:t xml:space="preserve"> </w:t>
      </w:r>
      <w:r w:rsidRPr="1C99BC42" w:rsidR="1C99BC42">
        <w:rPr>
          <w:color w:val="212121"/>
          <w:sz w:val="21"/>
          <w:szCs w:val="21"/>
        </w:rPr>
        <w:t>maintained</w:t>
      </w:r>
      <w:r w:rsidRPr="1C99BC42" w:rsidR="1C99BC42">
        <w:rPr>
          <w:color w:val="212121"/>
          <w:spacing w:val="22"/>
          <w:sz w:val="21"/>
          <w:szCs w:val="21"/>
        </w:rPr>
        <w:t xml:space="preserve"> </w:t>
      </w:r>
      <w:r w:rsidRPr="1C99BC42" w:rsidR="1C99BC42">
        <w:rPr>
          <w:color w:val="212121"/>
          <w:sz w:val="21"/>
          <w:szCs w:val="21"/>
        </w:rPr>
        <w:t>detailed</w:t>
      </w:r>
      <w:r w:rsidRPr="1C99BC42" w:rsidR="1C99BC42">
        <w:rPr>
          <w:color w:val="212121"/>
          <w:spacing w:val="22"/>
          <w:sz w:val="21"/>
          <w:szCs w:val="21"/>
        </w:rPr>
        <w:t xml:space="preserve"> </w:t>
      </w:r>
      <w:r w:rsidRPr="1C99BC42" w:rsidR="1C99BC42">
        <w:rPr>
          <w:color w:val="212121"/>
          <w:sz w:val="21"/>
          <w:szCs w:val="21"/>
        </w:rPr>
        <w:t>SOPs</w:t>
      </w:r>
      <w:r w:rsidRPr="1C99BC42" w:rsidR="1C99BC42">
        <w:rPr>
          <w:color w:val="212121"/>
          <w:spacing w:val="22"/>
          <w:sz w:val="21"/>
          <w:szCs w:val="21"/>
        </w:rPr>
        <w:t xml:space="preserve"> </w:t>
      </w:r>
      <w:r w:rsidRPr="1C99BC42" w:rsidR="1C99BC42">
        <w:rPr>
          <w:color w:val="212121"/>
          <w:sz w:val="21"/>
          <w:szCs w:val="21"/>
        </w:rPr>
        <w:t>for</w:t>
      </w:r>
      <w:r w:rsidRPr="1C99BC42" w:rsidR="1C99BC42">
        <w:rPr>
          <w:color w:val="212121"/>
          <w:spacing w:val="22"/>
          <w:sz w:val="21"/>
          <w:szCs w:val="21"/>
        </w:rPr>
        <w:t xml:space="preserve"> </w:t>
      </w:r>
      <w:r w:rsidRPr="1C99BC42" w:rsidR="1C99BC42">
        <w:rPr>
          <w:color w:val="212121"/>
          <w:sz w:val="21"/>
          <w:szCs w:val="21"/>
        </w:rPr>
        <w:t>2</w:t>
      </w:r>
      <w:r w:rsidRPr="1C99BC42" w:rsidR="1C99BC42">
        <w:rPr>
          <w:color w:val="212121"/>
          <w:spacing w:val="22"/>
          <w:sz w:val="21"/>
          <w:szCs w:val="21"/>
        </w:rPr>
        <w:t xml:space="preserve"> </w:t>
      </w:r>
      <w:r w:rsidRPr="1C99BC42" w:rsidR="1C99BC42">
        <w:rPr>
          <w:color w:val="212121"/>
          <w:sz w:val="21"/>
          <w:szCs w:val="21"/>
        </w:rPr>
        <w:t>clients,</w:t>
      </w:r>
      <w:r w:rsidRPr="1C99BC42" w:rsidR="1C99BC42">
        <w:rPr>
          <w:color w:val="212121"/>
          <w:spacing w:val="22"/>
          <w:sz w:val="21"/>
          <w:szCs w:val="21"/>
        </w:rPr>
        <w:t xml:space="preserve"> </w:t>
      </w:r>
      <w:r w:rsidRPr="1C99BC42" w:rsidR="1C99BC42">
        <w:rPr>
          <w:color w:val="212121"/>
          <w:sz w:val="21"/>
          <w:szCs w:val="21"/>
        </w:rPr>
        <w:t>and</w:t>
      </w:r>
      <w:r w:rsidRPr="1C99BC42" w:rsidR="1C99BC42">
        <w:rPr>
          <w:color w:val="212121"/>
          <w:spacing w:val="22"/>
          <w:sz w:val="21"/>
          <w:szCs w:val="21"/>
        </w:rPr>
        <w:t xml:space="preserve"> </w:t>
      </w:r>
      <w:r w:rsidRPr="1C99BC42" w:rsidR="1C99BC42">
        <w:rPr>
          <w:color w:val="212121"/>
          <w:sz w:val="21"/>
          <w:szCs w:val="21"/>
        </w:rPr>
        <w:t>supported</w:t>
      </w:r>
      <w:r w:rsidRPr="1C99BC42" w:rsidR="1C99BC42">
        <w:rPr>
          <w:color w:val="212121"/>
          <w:spacing w:val="22"/>
          <w:sz w:val="21"/>
          <w:szCs w:val="21"/>
        </w:rPr>
        <w:t xml:space="preserve"> </w:t>
      </w:r>
      <w:r w:rsidRPr="1C99BC42" w:rsidR="1C99BC42">
        <w:rPr>
          <w:color w:val="212121"/>
          <w:sz w:val="21"/>
          <w:szCs w:val="21"/>
        </w:rPr>
        <w:t>onboarding</w:t>
      </w:r>
      <w:r w:rsidRPr="1C99BC42" w:rsidR="1C99BC42">
        <w:rPr>
          <w:color w:val="212121"/>
          <w:spacing w:val="22"/>
          <w:sz w:val="21"/>
          <w:szCs w:val="21"/>
        </w:rPr>
        <w:t xml:space="preserve"> </w:t>
      </w:r>
      <w:r w:rsidRPr="1C99BC42" w:rsidR="1C99BC42">
        <w:rPr>
          <w:color w:val="212121"/>
          <w:sz w:val="21"/>
          <w:szCs w:val="21"/>
        </w:rPr>
        <w:t>of</w:t>
      </w:r>
      <w:r w:rsidRPr="1C99BC42" w:rsidR="1C99BC42">
        <w:rPr>
          <w:color w:val="212121"/>
          <w:spacing w:val="22"/>
          <w:sz w:val="21"/>
          <w:szCs w:val="21"/>
        </w:rPr>
        <w:t xml:space="preserve"> </w:t>
      </w:r>
      <w:r w:rsidRPr="1C99BC42" w:rsidR="1C99BC42">
        <w:rPr>
          <w:color w:val="212121"/>
          <w:sz w:val="21"/>
          <w:szCs w:val="21"/>
        </w:rPr>
        <w:t>2–3</w:t>
      </w:r>
      <w:r w:rsidRPr="1C99BC42" w:rsidR="1C99BC42">
        <w:rPr>
          <w:color w:val="212121"/>
          <w:spacing w:val="22"/>
          <w:sz w:val="21"/>
          <w:szCs w:val="21"/>
        </w:rPr>
        <w:t xml:space="preserve"> </w:t>
      </w:r>
      <w:r w:rsidRPr="1C99BC42" w:rsidR="1C99BC42">
        <w:rPr>
          <w:color w:val="212121"/>
          <w:sz w:val="21"/>
          <w:szCs w:val="21"/>
        </w:rPr>
        <w:t>new</w:t>
      </w:r>
      <w:r w:rsidRPr="1C99BC42" w:rsidR="1C99BC42">
        <w:rPr>
          <w:color w:val="212121"/>
          <w:spacing w:val="22"/>
          <w:sz w:val="21"/>
          <w:szCs w:val="21"/>
        </w:rPr>
        <w:t xml:space="preserve"> </w:t>
      </w:r>
      <w:r w:rsidRPr="1C99BC42" w:rsidR="1C99BC42">
        <w:rPr>
          <w:color w:val="212121"/>
          <w:sz w:val="21"/>
          <w:szCs w:val="21"/>
        </w:rPr>
        <w:t>funds,</w:t>
      </w:r>
      <w:r w:rsidRPr="1C99BC42" w:rsidR="1C99BC42">
        <w:rPr>
          <w:color w:val="212121"/>
          <w:spacing w:val="22"/>
          <w:sz w:val="21"/>
          <w:szCs w:val="21"/>
        </w:rPr>
        <w:t xml:space="preserve"> </w:t>
      </w:r>
      <w:r w:rsidRPr="1C99BC42" w:rsidR="1C99BC42">
        <w:rPr>
          <w:color w:val="212121"/>
          <w:sz w:val="21"/>
          <w:szCs w:val="21"/>
        </w:rPr>
        <w:t>fund</w:t>
      </w:r>
      <w:r w:rsidRPr="1C99BC42" w:rsidR="1C99BC42">
        <w:rPr>
          <w:color w:val="212121"/>
          <w:spacing w:val="22"/>
          <w:sz w:val="21"/>
          <w:szCs w:val="21"/>
        </w:rPr>
        <w:t xml:space="preserve"> </w:t>
      </w:r>
      <w:r w:rsidRPr="1C99BC42" w:rsidR="1C99BC42">
        <w:rPr>
          <w:color w:val="212121"/>
          <w:sz w:val="21"/>
          <w:szCs w:val="21"/>
        </w:rPr>
        <w:t xml:space="preserve">launches and system migrations on Invest One, covering static data setup, opening balance validation and post-migration </w:t>
      </w:r>
      <w:r w:rsidRPr="1C99BC42" w:rsidR="1C99BC42">
        <w:rPr>
          <w:color w:val="212121"/>
          <w:spacing w:val="-2"/>
          <w:sz w:val="21"/>
          <w:szCs w:val="21"/>
        </w:rPr>
        <w:t>reconciliation.</w:t>
      </w:r>
    </w:p>
    <w:p xmlns:wp14="http://schemas.microsoft.com/office/word/2010/wordml" w:rsidP="1C99BC42" w14:paraId="738A059D" wp14:textId="6FBE4911">
      <w:pPr>
        <w:pStyle w:val="ListParagraph"/>
        <w:numPr>
          <w:ilvl w:val="0"/>
          <w:numId w:val="1"/>
        </w:numPr>
        <w:suppressLineNumbers w:val="0"/>
        <w:tabs>
          <w:tab w:val="left" w:leader="none" w:pos="330"/>
        </w:tabs>
        <w:bidi w:val="0"/>
        <w:spacing w:before="88" w:beforeAutospacing="off" w:after="0" w:afterAutospacing="off" w:line="288" w:lineRule="auto"/>
        <w:ind w:left="330" w:right="141" w:hanging="210"/>
        <w:jc w:val="left"/>
        <w:rPr>
          <w:noProof w:val="0"/>
          <w:color w:val="212121"/>
          <w:sz w:val="21"/>
          <w:szCs w:val="21"/>
          <w:lang w:val="en-US"/>
        </w:rPr>
      </w:pPr>
      <w:r w:rsidRPr="1C99BC42" w:rsidR="69246782">
        <w:rPr>
          <w:noProof w:val="0"/>
          <w:color w:val="212121"/>
          <w:sz w:val="21"/>
          <w:szCs w:val="21"/>
          <w:lang w:val="en-US"/>
        </w:rPr>
        <w:t xml:space="preserve">Calculated, reviewed and posted </w:t>
      </w:r>
      <w:r w:rsidRPr="1C99BC42" w:rsidR="69246782">
        <w:rPr>
          <w:noProof w:val="0"/>
          <w:color w:val="212121"/>
          <w:sz w:val="21"/>
          <w:szCs w:val="21"/>
          <w:lang w:val="en-US"/>
        </w:rPr>
        <w:t>Management Fee, Performance Fee, Incentive Fee, Custody Fee and Fund Expense accruals</w:t>
      </w:r>
      <w:r w:rsidRPr="1C99BC42" w:rsidR="69246782">
        <w:rPr>
          <w:noProof w:val="0"/>
          <w:color w:val="212121"/>
          <w:sz w:val="21"/>
          <w:szCs w:val="21"/>
          <w:lang w:val="en-US"/>
        </w:rPr>
        <w:t xml:space="preserve"> in accordance with fund governing documents and client-specific fee arrangements. </w:t>
      </w:r>
    </w:p>
    <w:p xmlns:wp14="http://schemas.microsoft.com/office/word/2010/wordml" w:rsidP="1C99BC42" w14:paraId="40113289" wp14:textId="3C60100F">
      <w:pPr>
        <w:pStyle w:val="ListParagraph"/>
        <w:numPr>
          <w:ilvl w:val="0"/>
          <w:numId w:val="1"/>
        </w:numPr>
        <w:suppressLineNumbers w:val="0"/>
        <w:bidi w:val="0"/>
        <w:spacing w:before="88" w:beforeAutospacing="off" w:after="0" w:afterAutospacing="off" w:line="288" w:lineRule="auto"/>
        <w:ind w:left="330" w:right="141" w:hanging="210"/>
        <w:jc w:val="left"/>
        <w:rPr>
          <w:noProof w:val="0"/>
          <w:color w:val="212121"/>
          <w:sz w:val="21"/>
          <w:szCs w:val="21"/>
          <w:lang w:val="en-US"/>
        </w:rPr>
      </w:pPr>
      <w:r w:rsidRPr="1C99BC42" w:rsidR="69246782">
        <w:rPr>
          <w:noProof w:val="0"/>
          <w:color w:val="212121"/>
          <w:sz w:val="21"/>
          <w:szCs w:val="21"/>
          <w:lang w:val="en-US"/>
        </w:rPr>
        <w:t xml:space="preserve">Performed </w:t>
      </w:r>
      <w:r w:rsidRPr="1C99BC42" w:rsidR="69246782">
        <w:rPr>
          <w:noProof w:val="0"/>
          <w:color w:val="212121"/>
          <w:sz w:val="21"/>
          <w:szCs w:val="21"/>
          <w:lang w:val="en-US"/>
        </w:rPr>
        <w:t>Management Fee and Performance Fee accounting</w:t>
      </w:r>
      <w:r w:rsidRPr="1C99BC42" w:rsidR="69246782">
        <w:rPr>
          <w:noProof w:val="0"/>
          <w:color w:val="212121"/>
          <w:sz w:val="21"/>
          <w:szCs w:val="21"/>
          <w:lang w:val="en-US"/>
        </w:rPr>
        <w:t xml:space="preserve">, including accruals, equalisation adjustments, High Water Mark (HWM) calculations and fee validations before NAV release. </w:t>
      </w:r>
    </w:p>
    <w:p xmlns:wp14="http://schemas.microsoft.com/office/word/2010/wordml" w:rsidP="1C99BC42" w14:paraId="79635DAA" wp14:textId="71FCC624">
      <w:pPr>
        <w:pStyle w:val="ListParagraph"/>
        <w:numPr>
          <w:ilvl w:val="0"/>
          <w:numId w:val="1"/>
        </w:numPr>
        <w:suppressLineNumbers w:val="0"/>
        <w:bidi w:val="0"/>
        <w:spacing w:before="88" w:beforeAutospacing="off" w:after="0" w:afterAutospacing="off" w:line="288" w:lineRule="auto"/>
        <w:ind w:left="330" w:right="141" w:hanging="210"/>
        <w:jc w:val="left"/>
        <w:rPr>
          <w:noProof w:val="0"/>
          <w:color w:val="212121"/>
          <w:sz w:val="21"/>
          <w:szCs w:val="21"/>
          <w:lang w:val="en-US"/>
        </w:rPr>
      </w:pPr>
      <w:r w:rsidRPr="1C99BC42" w:rsidR="69246782">
        <w:rPr>
          <w:noProof w:val="0"/>
          <w:color w:val="212121"/>
          <w:sz w:val="21"/>
          <w:szCs w:val="21"/>
          <w:lang w:val="en-US"/>
        </w:rPr>
        <w:t xml:space="preserve">Validated management and performance fee calculations against fund documentation, ensuring accurate accounting treatment and timely reflection in daily and periodic NAV. </w:t>
      </w:r>
    </w:p>
    <w:p xmlns:wp14="http://schemas.microsoft.com/office/word/2010/wordml" w:rsidP="1C99BC42" w14:paraId="0B81E543" wp14:textId="21AF9FE4">
      <w:pPr>
        <w:pStyle w:val="ListParagraph"/>
        <w:numPr>
          <w:ilvl w:val="0"/>
          <w:numId w:val="1"/>
        </w:numPr>
        <w:suppressLineNumbers w:val="0"/>
        <w:bidi w:val="0"/>
        <w:spacing w:before="88" w:beforeAutospacing="off" w:after="0" w:afterAutospacing="off" w:line="288" w:lineRule="auto"/>
        <w:ind w:left="330" w:right="141" w:hanging="210"/>
        <w:jc w:val="left"/>
        <w:rPr>
          <w:noProof w:val="0"/>
          <w:color w:val="212121"/>
          <w:sz w:val="21"/>
          <w:szCs w:val="21"/>
          <w:lang w:val="en-US"/>
        </w:rPr>
      </w:pPr>
      <w:r w:rsidRPr="1C99BC42" w:rsidR="69246782">
        <w:rPr>
          <w:noProof w:val="0"/>
          <w:color w:val="212121"/>
          <w:sz w:val="21"/>
          <w:szCs w:val="21"/>
          <w:lang w:val="en-US"/>
        </w:rPr>
        <w:t xml:space="preserve">Reviewed fee calculations, expense </w:t>
      </w:r>
      <w:r w:rsidRPr="1C99BC42" w:rsidR="69246782">
        <w:rPr>
          <w:noProof w:val="0"/>
          <w:color w:val="212121"/>
          <w:sz w:val="21"/>
          <w:szCs w:val="21"/>
          <w:lang w:val="en-US"/>
        </w:rPr>
        <w:t>allocations</w:t>
      </w:r>
      <w:r w:rsidRPr="1C99BC42" w:rsidR="69246782">
        <w:rPr>
          <w:noProof w:val="0"/>
          <w:color w:val="212121"/>
          <w:sz w:val="21"/>
          <w:szCs w:val="21"/>
          <w:lang w:val="en-US"/>
        </w:rPr>
        <w:t xml:space="preserve"> and accruals during month-end and year-end close, ensuring compliance with GAAP/IFRS and fund accounting policies.</w:t>
      </w:r>
    </w:p>
    <w:p xmlns:wp14="http://schemas.microsoft.com/office/word/2010/wordml" w:rsidP="1C99BC42" w14:paraId="66963D17" wp14:textId="58CC0FB0">
      <w:pPr>
        <w:pStyle w:val="ListParagraph"/>
        <w:numPr>
          <w:ilvl w:val="0"/>
          <w:numId w:val="1"/>
        </w:numPr>
        <w:suppressLineNumbers w:val="0"/>
        <w:bidi w:val="0"/>
        <w:spacing w:before="88" w:beforeAutospacing="off" w:after="0" w:afterAutospacing="off" w:line="288" w:lineRule="auto"/>
        <w:ind w:left="330" w:right="141" w:hanging="210"/>
        <w:jc w:val="left"/>
        <w:rPr>
          <w:noProof w:val="0"/>
          <w:color w:val="212121"/>
          <w:sz w:val="21"/>
          <w:szCs w:val="21"/>
          <w:lang w:val="en-US"/>
        </w:rPr>
      </w:pPr>
      <w:r w:rsidRPr="1C99BC42" w:rsidR="69246782">
        <w:rPr>
          <w:noProof w:val="0"/>
          <w:color w:val="212121"/>
          <w:sz w:val="21"/>
          <w:szCs w:val="21"/>
          <w:lang w:val="en-US"/>
        </w:rPr>
        <w:t xml:space="preserve">Managed end-to-end trade lifecycle activities including trade validation, booking verification, settlement </w:t>
      </w:r>
      <w:r w:rsidRPr="1C99BC42" w:rsidR="238DA7D8">
        <w:rPr>
          <w:noProof w:val="0"/>
          <w:color w:val="212121"/>
          <w:sz w:val="21"/>
          <w:szCs w:val="21"/>
          <w:lang w:val="en-US"/>
        </w:rPr>
        <w:t>validation,</w:t>
      </w:r>
      <w:r w:rsidRPr="1C99BC42" w:rsidR="69246782">
        <w:rPr>
          <w:noProof w:val="0"/>
          <w:color w:val="212121"/>
          <w:sz w:val="21"/>
          <w:szCs w:val="21"/>
          <w:lang w:val="en-US"/>
        </w:rPr>
        <w:t xml:space="preserve"> and post-trade reconciliation across multi-asset institutional portfolios. </w:t>
      </w:r>
    </w:p>
    <w:p xmlns:wp14="http://schemas.microsoft.com/office/word/2010/wordml" w:rsidP="1C99BC42" w14:paraId="3E48E23D" wp14:textId="1B01BB6B">
      <w:pPr>
        <w:pStyle w:val="ListParagraph"/>
        <w:numPr>
          <w:ilvl w:val="0"/>
          <w:numId w:val="1"/>
        </w:numPr>
        <w:suppressLineNumbers w:val="0"/>
        <w:bidi w:val="0"/>
        <w:spacing w:before="88" w:beforeAutospacing="off" w:after="0" w:afterAutospacing="off" w:line="288" w:lineRule="auto"/>
        <w:ind w:left="330" w:right="141" w:hanging="210"/>
        <w:jc w:val="left"/>
        <w:rPr>
          <w:noProof w:val="0"/>
          <w:color w:val="212121"/>
          <w:sz w:val="21"/>
          <w:szCs w:val="21"/>
          <w:lang w:val="en-US"/>
        </w:rPr>
      </w:pPr>
      <w:r w:rsidRPr="1C99BC42" w:rsidR="69246782">
        <w:rPr>
          <w:noProof w:val="0"/>
          <w:color w:val="212121"/>
          <w:sz w:val="21"/>
          <w:szCs w:val="21"/>
          <w:lang w:val="en-US"/>
        </w:rPr>
        <w:t xml:space="preserve">Performed Cash, Position, Market Value and Holdings Reconciliation between accounting books, custodians, brokers and portfolio records, ensuring timely resolution of exceptions prior to NAV release. </w:t>
      </w:r>
    </w:p>
    <w:p xmlns:wp14="http://schemas.microsoft.com/office/word/2010/wordml" w:rsidP="1C99BC42" w14:paraId="0A58B5EC" wp14:textId="4555A15D">
      <w:pPr>
        <w:pStyle w:val="ListParagraph"/>
        <w:numPr>
          <w:ilvl w:val="0"/>
          <w:numId w:val="1"/>
        </w:numPr>
        <w:suppressLineNumbers w:val="0"/>
        <w:bidi w:val="0"/>
        <w:spacing w:before="88" w:beforeAutospacing="off" w:after="0" w:afterAutospacing="off" w:line="288" w:lineRule="auto"/>
        <w:ind w:left="330" w:right="141" w:hanging="210"/>
        <w:jc w:val="left"/>
        <w:rPr>
          <w:noProof w:val="0"/>
          <w:color w:val="212121"/>
          <w:sz w:val="21"/>
          <w:szCs w:val="21"/>
          <w:lang w:val="en-US"/>
        </w:rPr>
      </w:pPr>
      <w:r w:rsidRPr="1C99BC42" w:rsidR="69246782">
        <w:rPr>
          <w:noProof w:val="0"/>
          <w:color w:val="212121"/>
          <w:sz w:val="21"/>
          <w:szCs w:val="21"/>
          <w:lang w:val="en-US"/>
        </w:rPr>
        <w:t xml:space="preserve">Investigated NAV, pricing, trade and reconciliation breaks by coordinating with Custodians, Investment Managers, Brokers and Transfer Agents, ensuring all exceptions were resolved within agreed SLAs. </w:t>
      </w:r>
    </w:p>
    <w:p xmlns:wp14="http://schemas.microsoft.com/office/word/2010/wordml" w:rsidP="1C99BC42" w14:paraId="2D230EBB" wp14:textId="7DB9B1F2">
      <w:pPr>
        <w:pStyle w:val="ListParagraph"/>
        <w:numPr>
          <w:ilvl w:val="0"/>
          <w:numId w:val="1"/>
        </w:numPr>
        <w:suppressLineNumbers w:val="0"/>
        <w:bidi w:val="0"/>
        <w:spacing w:before="88" w:beforeAutospacing="off" w:after="0" w:afterAutospacing="off" w:line="288" w:lineRule="auto"/>
        <w:ind w:left="330" w:right="141" w:hanging="210"/>
        <w:jc w:val="left"/>
        <w:rPr>
          <w:noProof w:val="0"/>
          <w:color w:val="212121"/>
          <w:sz w:val="21"/>
          <w:szCs w:val="21"/>
          <w:lang w:val="en-US"/>
        </w:rPr>
      </w:pPr>
      <w:r w:rsidRPr="1C99BC42" w:rsidR="69246782">
        <w:rPr>
          <w:noProof w:val="0"/>
          <w:color w:val="212121"/>
          <w:sz w:val="21"/>
          <w:szCs w:val="21"/>
          <w:lang w:val="en-US"/>
        </w:rPr>
        <w:t xml:space="preserve">Performed daily Custodian Reconciliation, validating cash balances, security holdings, corporate actions and settlement activities to maintain portfolio accuracy. </w:t>
      </w:r>
    </w:p>
    <w:p xmlns:wp14="http://schemas.microsoft.com/office/word/2010/wordml" w:rsidP="1C99BC42" w14:paraId="0ECADA4A" wp14:textId="7D55EFB9">
      <w:pPr>
        <w:pStyle w:val="ListParagraph"/>
        <w:numPr>
          <w:ilvl w:val="0"/>
          <w:numId w:val="1"/>
        </w:numPr>
        <w:suppressLineNumbers w:val="0"/>
        <w:bidi w:val="0"/>
        <w:spacing w:before="88" w:beforeAutospacing="off" w:after="0" w:afterAutospacing="off" w:line="288" w:lineRule="auto"/>
        <w:ind w:left="330" w:right="141" w:hanging="210"/>
        <w:jc w:val="left"/>
        <w:rPr>
          <w:noProof w:val="0"/>
          <w:color w:val="212121"/>
          <w:sz w:val="21"/>
          <w:szCs w:val="21"/>
          <w:lang w:val="en-US"/>
        </w:rPr>
      </w:pPr>
      <w:r w:rsidRPr="1C99BC42" w:rsidR="69246782">
        <w:rPr>
          <w:noProof w:val="0"/>
          <w:color w:val="212121"/>
          <w:sz w:val="21"/>
          <w:szCs w:val="21"/>
          <w:lang w:val="en-US"/>
        </w:rPr>
        <w:t xml:space="preserve">Validated security prices using Bloomberg and third-party market data vendors, resolving stale prices, pricing </w:t>
      </w:r>
      <w:r w:rsidRPr="1C99BC42" w:rsidR="69246782">
        <w:rPr>
          <w:noProof w:val="0"/>
          <w:color w:val="212121"/>
          <w:sz w:val="21"/>
          <w:szCs w:val="21"/>
          <w:lang w:val="en-US"/>
        </w:rPr>
        <w:t>exceptions</w:t>
      </w:r>
      <w:r w:rsidRPr="1C99BC42" w:rsidR="69246782">
        <w:rPr>
          <w:noProof w:val="0"/>
          <w:color w:val="212121"/>
          <w:sz w:val="21"/>
          <w:szCs w:val="21"/>
          <w:lang w:val="en-US"/>
        </w:rPr>
        <w:t xml:space="preserve"> and valuation discrepancies before NAV </w:t>
      </w:r>
      <w:r w:rsidRPr="1C99BC42" w:rsidR="45B499A5">
        <w:rPr>
          <w:noProof w:val="0"/>
          <w:color w:val="212121"/>
          <w:sz w:val="21"/>
          <w:szCs w:val="21"/>
          <w:lang w:val="en-US"/>
        </w:rPr>
        <w:t>finalization</w:t>
      </w:r>
      <w:r w:rsidRPr="1C99BC42" w:rsidR="69246782">
        <w:rPr>
          <w:noProof w:val="0"/>
          <w:color w:val="212121"/>
          <w:sz w:val="21"/>
          <w:szCs w:val="21"/>
          <w:lang w:val="en-US"/>
        </w:rPr>
        <w:t xml:space="preserve">. </w:t>
      </w:r>
    </w:p>
    <w:p xmlns:wp14="http://schemas.microsoft.com/office/word/2010/wordml" w:rsidP="1C99BC42" w14:paraId="32E63A76" wp14:textId="581151B9">
      <w:pPr>
        <w:pStyle w:val="ListParagraph"/>
        <w:numPr>
          <w:ilvl w:val="0"/>
          <w:numId w:val="1"/>
        </w:numPr>
        <w:suppressLineNumbers w:val="0"/>
        <w:bidi w:val="0"/>
        <w:spacing w:before="88" w:beforeAutospacing="off" w:after="0" w:afterAutospacing="off" w:line="288" w:lineRule="auto"/>
        <w:ind w:left="330" w:right="141" w:hanging="210"/>
        <w:jc w:val="left"/>
        <w:rPr>
          <w:noProof w:val="0"/>
          <w:color w:val="212121"/>
          <w:sz w:val="21"/>
          <w:szCs w:val="21"/>
          <w:lang w:val="en-US"/>
        </w:rPr>
      </w:pPr>
      <w:r w:rsidRPr="1C99BC42" w:rsidR="69246782">
        <w:rPr>
          <w:noProof w:val="0"/>
          <w:color w:val="212121"/>
          <w:sz w:val="21"/>
          <w:szCs w:val="21"/>
          <w:lang w:val="en-US"/>
        </w:rPr>
        <w:t xml:space="preserve">Verified investment transactions across Equities, Fixed Income, Derivatives and FX instruments to ensure accurate accounting, valuation and financial reporting. </w:t>
      </w:r>
    </w:p>
    <w:p xmlns:wp14="http://schemas.microsoft.com/office/word/2010/wordml" w:rsidP="1C99BC42" w14:paraId="7937BBF1" wp14:textId="5D02F962">
      <w:pPr>
        <w:pStyle w:val="ListParagraph"/>
        <w:numPr>
          <w:ilvl w:val="0"/>
          <w:numId w:val="1"/>
        </w:numPr>
        <w:suppressLineNumbers w:val="0"/>
        <w:bidi w:val="0"/>
        <w:spacing w:before="88" w:beforeAutospacing="off" w:after="0" w:afterAutospacing="off" w:line="288" w:lineRule="auto"/>
        <w:ind w:left="330" w:right="141" w:hanging="210"/>
        <w:jc w:val="left"/>
        <w:rPr>
          <w:noProof w:val="0"/>
          <w:color w:val="212121"/>
          <w:sz w:val="21"/>
          <w:szCs w:val="21"/>
          <w:lang w:val="en-US"/>
        </w:rPr>
      </w:pPr>
      <w:r w:rsidRPr="1C99BC42" w:rsidR="69246782">
        <w:rPr>
          <w:noProof w:val="0"/>
          <w:color w:val="212121"/>
          <w:sz w:val="21"/>
          <w:szCs w:val="21"/>
          <w:lang w:val="en-US"/>
        </w:rPr>
        <w:t xml:space="preserve">Partnered with Fund Managers, Custodians, Transfer Agents, Pricing Vendors, Internal Operations and Audit teams to resolve operational issues and support timely NAV production. </w:t>
      </w:r>
    </w:p>
    <w:p xmlns:wp14="http://schemas.microsoft.com/office/word/2010/wordml" w:rsidP="1C99BC42" w14:paraId="07D1AC3B" wp14:textId="45AA523E">
      <w:pPr>
        <w:pStyle w:val="ListParagraph"/>
        <w:numPr>
          <w:ilvl w:val="0"/>
          <w:numId w:val="1"/>
        </w:numPr>
        <w:suppressLineNumbers w:val="0"/>
        <w:bidi w:val="0"/>
        <w:spacing w:before="88" w:beforeAutospacing="off" w:after="0" w:afterAutospacing="off" w:line="288" w:lineRule="auto"/>
        <w:ind w:left="330" w:right="141" w:hanging="210"/>
        <w:jc w:val="left"/>
        <w:rPr>
          <w:noProof w:val="0"/>
          <w:color w:val="212121"/>
          <w:sz w:val="21"/>
          <w:szCs w:val="21"/>
          <w:lang w:val="en-US"/>
        </w:rPr>
      </w:pPr>
      <w:r w:rsidRPr="1C99BC42" w:rsidR="69246782">
        <w:rPr>
          <w:noProof w:val="0"/>
          <w:color w:val="212121"/>
          <w:sz w:val="21"/>
          <w:szCs w:val="21"/>
          <w:lang w:val="en-US"/>
        </w:rPr>
        <w:t xml:space="preserve">Ensured adherence to fund governing documents, client-specific accounting policies, internal controls, operational risk frameworks and maker-checker governance throughout the NAV production process. </w:t>
      </w:r>
    </w:p>
    <w:p xmlns:wp14="http://schemas.microsoft.com/office/word/2010/wordml" w:rsidP="1C99BC42" w14:paraId="41B73624" wp14:textId="6AB81B84">
      <w:pPr>
        <w:pStyle w:val="ListParagraph"/>
        <w:numPr>
          <w:ilvl w:val="0"/>
          <w:numId w:val="1"/>
        </w:numPr>
        <w:suppressLineNumbers w:val="0"/>
        <w:bidi w:val="0"/>
        <w:spacing w:before="88" w:beforeAutospacing="off" w:after="0" w:afterAutospacing="off" w:line="288" w:lineRule="auto"/>
        <w:ind w:left="330" w:right="141" w:hanging="210"/>
        <w:jc w:val="left"/>
        <w:rPr>
          <w:noProof w:val="0"/>
          <w:color w:val="212121"/>
          <w:sz w:val="21"/>
          <w:szCs w:val="21"/>
          <w:lang w:val="en-US"/>
        </w:rPr>
      </w:pPr>
      <w:r w:rsidRPr="1C99BC42" w:rsidR="69246782">
        <w:rPr>
          <w:noProof w:val="0"/>
          <w:color w:val="212121"/>
          <w:sz w:val="21"/>
          <w:szCs w:val="21"/>
          <w:lang w:val="en-US"/>
        </w:rPr>
        <w:t xml:space="preserve">Supported new fund launches, portfolio transitions and system migrations by performing static data validation, opening balance verification, portfolio reconciliation and post-migration quality checks. </w:t>
      </w:r>
    </w:p>
    <w:p xmlns:wp14="http://schemas.microsoft.com/office/word/2010/wordml" w:rsidP="1C99BC42" w14:paraId="43CC1942" wp14:textId="1A35FE14">
      <w:pPr>
        <w:pStyle w:val="ListParagraph"/>
        <w:numPr>
          <w:ilvl w:val="0"/>
          <w:numId w:val="1"/>
        </w:numPr>
        <w:suppressLineNumbers w:val="0"/>
        <w:bidi w:val="0"/>
        <w:spacing w:before="88" w:beforeAutospacing="off" w:after="0" w:afterAutospacing="off" w:line="288" w:lineRule="auto"/>
        <w:ind w:left="330" w:right="141" w:hanging="210"/>
        <w:jc w:val="left"/>
        <w:rPr>
          <w:noProof w:val="0"/>
          <w:color w:val="212121"/>
          <w:sz w:val="21"/>
          <w:szCs w:val="21"/>
          <w:lang w:val="en-US"/>
        </w:rPr>
      </w:pPr>
      <w:r w:rsidRPr="1C99BC42" w:rsidR="69246782">
        <w:rPr>
          <w:noProof w:val="0"/>
          <w:color w:val="212121"/>
          <w:sz w:val="21"/>
          <w:szCs w:val="21"/>
          <w:lang w:val="en-US"/>
        </w:rPr>
        <w:t xml:space="preserve">Contributed to continuous process improvement initiatives by </w:t>
      </w:r>
      <w:r w:rsidRPr="1C99BC42" w:rsidR="409B94AF">
        <w:rPr>
          <w:noProof w:val="0"/>
          <w:color w:val="212121"/>
          <w:sz w:val="21"/>
          <w:szCs w:val="21"/>
          <w:lang w:val="en-US"/>
        </w:rPr>
        <w:t>standardizing</w:t>
      </w:r>
      <w:r w:rsidRPr="1C99BC42" w:rsidR="69246782">
        <w:rPr>
          <w:noProof w:val="0"/>
          <w:color w:val="212121"/>
          <w:sz w:val="21"/>
          <w:szCs w:val="21"/>
          <w:lang w:val="en-US"/>
        </w:rPr>
        <w:t xml:space="preserve"> operational procedures, enhancing reconciliation </w:t>
      </w:r>
      <w:r w:rsidRPr="1C99BC42" w:rsidR="69246782">
        <w:rPr>
          <w:noProof w:val="0"/>
          <w:color w:val="212121"/>
          <w:sz w:val="21"/>
          <w:szCs w:val="21"/>
          <w:lang w:val="en-US"/>
        </w:rPr>
        <w:t>controls</w:t>
      </w:r>
      <w:r w:rsidRPr="1C99BC42" w:rsidR="69246782">
        <w:rPr>
          <w:noProof w:val="0"/>
          <w:color w:val="212121"/>
          <w:sz w:val="21"/>
          <w:szCs w:val="21"/>
          <w:lang w:val="en-US"/>
        </w:rPr>
        <w:t xml:space="preserve"> and improving overall NAV production efficiency.</w:t>
      </w:r>
    </w:p>
    <w:p xmlns:wp14="http://schemas.microsoft.com/office/word/2010/wordml" w:rsidP="1C99BC42" w14:paraId="1AAAF7F6" wp14:textId="63F992D3">
      <w:pPr>
        <w:pStyle w:val="ListParagraph"/>
        <w:tabs>
          <w:tab w:val="left" w:leader="none" w:pos="330"/>
        </w:tabs>
        <w:spacing w:before="88" w:after="0" w:line="288" w:lineRule="auto"/>
        <w:ind w:left="330" w:right="141" w:hanging="210"/>
        <w:jc w:val="left"/>
        <w:rPr>
          <w:sz w:val="21"/>
          <w:szCs w:val="21"/>
        </w:rPr>
      </w:pPr>
    </w:p>
    <w:p xmlns:wp14="http://schemas.microsoft.com/office/word/2010/wordml" w14:paraId="4F4825E1" wp14:textId="2027DC98">
      <w:pPr>
        <w:pStyle w:val="Heading2"/>
      </w:pPr>
      <w:bookmarkStart w:name="Analyst, Syndicated Loan &amp; Settlement Op" w:id="6"/>
      <w:bookmarkEnd w:id="6"/>
      <w:r w:rsidR="1C99BC42">
        <w:rPr>
          <w:color w:val="0F2446"/>
        </w:rPr>
        <w:t>Analyst,</w:t>
      </w:r>
      <w:r w:rsidR="1C99BC42">
        <w:rPr>
          <w:color w:val="0F2446"/>
          <w:spacing w:val="12"/>
        </w:rPr>
        <w:t xml:space="preserve"> </w:t>
      </w:r>
      <w:r w:rsidR="1C99BC42">
        <w:rPr>
          <w:color w:val="0F2446"/>
        </w:rPr>
        <w:t>Syndicated</w:t>
      </w:r>
      <w:r w:rsidR="1C99BC42">
        <w:rPr>
          <w:color w:val="0F2446"/>
          <w:spacing w:val="13"/>
        </w:rPr>
        <w:t xml:space="preserve"> </w:t>
      </w:r>
      <w:r w:rsidR="1C99BC42">
        <w:rPr>
          <w:color w:val="0F2446"/>
        </w:rPr>
        <w:t>Loan</w:t>
      </w:r>
      <w:r w:rsidR="1C99BC42">
        <w:rPr>
          <w:color w:val="0F2446"/>
          <w:spacing w:val="13"/>
        </w:rPr>
        <w:t xml:space="preserve"> </w:t>
      </w:r>
      <w:r w:rsidR="1C99BC42">
        <w:rPr>
          <w:color w:val="0F2446"/>
        </w:rPr>
        <w:t>&amp;</w:t>
      </w:r>
      <w:r w:rsidR="1C99BC42">
        <w:rPr>
          <w:color w:val="0F2446"/>
          <w:spacing w:val="13"/>
        </w:rPr>
        <w:t xml:space="preserve"> </w:t>
      </w:r>
      <w:r w:rsidR="1C99BC42">
        <w:rPr>
          <w:color w:val="0F2446"/>
        </w:rPr>
        <w:t>Settlement</w:t>
      </w:r>
      <w:r w:rsidR="1C99BC42">
        <w:rPr>
          <w:color w:val="0F2446"/>
          <w:spacing w:val="13"/>
        </w:rPr>
        <w:t xml:space="preserve"> </w:t>
      </w:r>
      <w:r w:rsidR="1C99BC42">
        <w:rPr>
          <w:color w:val="0F2446"/>
        </w:rPr>
        <w:t>Operations</w:t>
      </w:r>
      <w:r w:rsidR="1C99BC42">
        <w:rPr>
          <w:color w:val="0F2446"/>
          <w:spacing w:val="13"/>
        </w:rPr>
        <w:t xml:space="preserve"> </w:t>
      </w:r>
      <w:r w:rsidR="1C99BC42">
        <w:rPr>
          <w:color w:val="0F2446"/>
        </w:rPr>
        <w:t>(Private</w:t>
      </w:r>
      <w:r w:rsidR="1C99BC42">
        <w:rPr>
          <w:color w:val="0F2446"/>
          <w:spacing w:val="13"/>
        </w:rPr>
        <w:t xml:space="preserve"> </w:t>
      </w:r>
      <w:r w:rsidR="1C99BC42">
        <w:rPr>
          <w:color w:val="0F2446"/>
        </w:rPr>
        <w:t>Credit)</w:t>
      </w:r>
      <w:r w:rsidR="1C99BC42">
        <w:rPr>
          <w:color w:val="0F2446"/>
          <w:spacing w:val="13"/>
        </w:rPr>
        <w:t xml:space="preserve"> </w:t>
      </w:r>
      <w:r w:rsidR="1C99BC42">
        <w:rPr>
          <w:color w:val="0F2446"/>
        </w:rPr>
        <w:t>—</w:t>
      </w:r>
      <w:r w:rsidR="1C99BC42">
        <w:rPr>
          <w:color w:val="0F2446"/>
          <w:spacing w:val="13"/>
        </w:rPr>
        <w:t xml:space="preserve"> </w:t>
      </w:r>
      <w:r w:rsidR="1C99BC42">
        <w:rPr>
          <w:color w:val="0F2446"/>
        </w:rPr>
        <w:t>eClerx</w:t>
      </w:r>
      <w:r w:rsidR="1C99BC42">
        <w:rPr>
          <w:color w:val="0F2446"/>
          <w:spacing w:val="13"/>
        </w:rPr>
        <w:t xml:space="preserve"> </w:t>
      </w:r>
      <w:r w:rsidRPr="1C99BC42" w:rsidR="0D260681">
        <w:rPr>
          <w:color w:val="0F2446"/>
        </w:rPr>
        <w:t>( client</w:t>
      </w:r>
      <w:r w:rsidRPr="1C99BC42" w:rsidR="0D260681">
        <w:rPr>
          <w:color w:val="0F2446"/>
        </w:rPr>
        <w:t xml:space="preserve"> _ Morgan </w:t>
      </w:r>
      <w:r w:rsidRPr="1C99BC42" w:rsidR="0D260681">
        <w:rPr>
          <w:color w:val="0F2446"/>
        </w:rPr>
        <w:t>Stanley</w:t>
      </w:r>
      <w:r w:rsidRPr="1C99BC42" w:rsidR="0D260681">
        <w:rPr>
          <w:color w:val="0F2446"/>
        </w:rPr>
        <w:t xml:space="preserve"> ) </w:t>
      </w:r>
      <w:r w:rsidRPr="1C99BC42" w:rsidR="1C99BC42">
        <w:rPr>
          <w:color w:val="0F2446"/>
        </w:rPr>
        <w:t>·</w:t>
      </w:r>
      <w:r w:rsidRPr="1C99BC42" w:rsidR="1C99BC42">
        <w:rPr>
          <w:color w:val="0F2446"/>
        </w:rPr>
        <w:t xml:space="preserve"> </w:t>
      </w:r>
      <w:r w:rsidRPr="1C99BC42" w:rsidR="1C99BC42">
        <w:rPr>
          <w:color w:val="0F2446"/>
        </w:rPr>
        <w:t>Pune,</w:t>
      </w:r>
      <w:r w:rsidRPr="1C99BC42" w:rsidR="1C99BC42">
        <w:rPr>
          <w:color w:val="0F2446"/>
        </w:rPr>
        <w:t xml:space="preserve"> </w:t>
      </w:r>
      <w:r w:rsidRPr="1C99BC42" w:rsidR="1C99BC42">
        <w:rPr>
          <w:color w:val="0F2446"/>
        </w:rPr>
        <w:t>India</w:t>
      </w:r>
      <w:r w:rsidRPr="1C99BC42" w:rsidR="1EDE3CA9">
        <w:rPr>
          <w:color w:val="0F2446"/>
        </w:rPr>
        <w:t xml:space="preserve"> </w:t>
      </w:r>
    </w:p>
    <w:p xmlns:wp14="http://schemas.microsoft.com/office/word/2010/wordml" w14:paraId="30F83F0C" wp14:textId="77777777">
      <w:pPr>
        <w:spacing w:before="58"/>
        <w:ind w:left="120" w:right="0" w:firstLine="0"/>
        <w:jc w:val="left"/>
        <w:rPr>
          <w:b/>
          <w:sz w:val="20"/>
        </w:rPr>
      </w:pPr>
      <w:r>
        <w:rPr>
          <w:b/>
          <w:sz w:val="20"/>
        </w:rPr>
        <w:t>Apr</w:t>
      </w:r>
      <w:r>
        <w:rPr>
          <w:b/>
          <w:spacing w:val="-1"/>
          <w:sz w:val="20"/>
        </w:rPr>
        <w:t> </w:t>
      </w:r>
      <w:r>
        <w:rPr>
          <w:b/>
          <w:sz w:val="20"/>
        </w:rPr>
        <w:t>2022 –</w:t>
      </w:r>
      <w:r>
        <w:rPr>
          <w:b/>
          <w:spacing w:val="-1"/>
          <w:sz w:val="20"/>
        </w:rPr>
        <w:t> </w:t>
      </w:r>
      <w:r>
        <w:rPr>
          <w:b/>
          <w:sz w:val="20"/>
        </w:rPr>
        <w:t>Mar</w:t>
      </w:r>
      <w:r>
        <w:rPr>
          <w:b/>
          <w:spacing w:val="-1"/>
          <w:sz w:val="20"/>
        </w:rPr>
        <w:t> </w:t>
      </w:r>
      <w:r>
        <w:rPr>
          <w:b/>
          <w:spacing w:val="-4"/>
          <w:sz w:val="20"/>
        </w:rPr>
        <w:t>2023</w:t>
      </w:r>
    </w:p>
    <w:p xmlns:wp14="http://schemas.microsoft.com/office/word/2010/wordml" w:rsidP="1C99BC42" w14:paraId="06F93DF7" wp14:textId="77777777">
      <w:pPr>
        <w:pStyle w:val="ListParagraph"/>
        <w:numPr>
          <w:ilvl w:val="0"/>
          <w:numId w:val="1"/>
        </w:numPr>
        <w:suppressLineNumbers w:val="0"/>
        <w:tabs>
          <w:tab w:val="left" w:leader="none" w:pos="330"/>
        </w:tabs>
        <w:bidi w:val="0"/>
        <w:spacing w:before="88" w:beforeAutospacing="off" w:after="0" w:afterAutospacing="off" w:line="288" w:lineRule="auto"/>
        <w:ind w:left="330" w:right="141" w:hanging="210"/>
        <w:jc w:val="left"/>
        <w:rPr>
          <w:color w:val="212121"/>
          <w:sz w:val="21"/>
          <w:szCs w:val="21"/>
        </w:rPr>
      </w:pPr>
      <w:r w:rsidRPr="1C99BC42" w:rsidR="1C99BC42">
        <w:rPr>
          <w:color w:val="212121"/>
          <w:sz w:val="21"/>
          <w:szCs w:val="21"/>
        </w:rPr>
        <w:t>Administered syndicated bank loan and private credit facilities on Loan IQ (LIQ) and Wall Street Office (WSO), processing drawdowns, rollovers, paydowns, commitment adjustments and trade settlement notices across the facility lifecycle.</w:t>
      </w:r>
    </w:p>
    <w:p xmlns:wp14="http://schemas.microsoft.com/office/word/2010/wordml" w:rsidP="1C99BC42" w14:paraId="53C417E7" wp14:textId="77777777">
      <w:pPr>
        <w:pStyle w:val="ListParagraph"/>
        <w:numPr>
          <w:ilvl w:val="0"/>
          <w:numId w:val="1"/>
        </w:numPr>
        <w:suppressLineNumbers w:val="0"/>
        <w:tabs>
          <w:tab w:val="left" w:leader="none" w:pos="330"/>
        </w:tabs>
        <w:bidi w:val="0"/>
        <w:spacing w:before="88" w:beforeAutospacing="off" w:after="0" w:afterAutospacing="off" w:line="288" w:lineRule="auto"/>
        <w:ind w:left="330" w:right="141" w:hanging="210"/>
        <w:jc w:val="left"/>
        <w:rPr>
          <w:color w:val="212121"/>
          <w:sz w:val="21"/>
          <w:szCs w:val="21"/>
        </w:rPr>
      </w:pPr>
      <w:r w:rsidRPr="1C99BC42" w:rsidR="1C99BC42">
        <w:rPr>
          <w:color w:val="212121"/>
          <w:sz w:val="21"/>
          <w:szCs w:val="21"/>
        </w:rPr>
        <w:t>Calculated interest accruals and fee figures across multiple tranches, validating each against the agent bank's notice before processing.</w:t>
      </w:r>
    </w:p>
    <w:p xmlns:wp14="http://schemas.microsoft.com/office/word/2010/wordml" w:rsidP="1C99BC42" w14:paraId="470BF464" wp14:textId="1F542DD3">
      <w:pPr>
        <w:pStyle w:val="ListParagraph"/>
        <w:numPr>
          <w:ilvl w:val="0"/>
          <w:numId w:val="1"/>
        </w:numPr>
        <w:suppressLineNumbers w:val="0"/>
        <w:tabs>
          <w:tab w:val="left" w:leader="none" w:pos="330"/>
        </w:tabs>
        <w:bidi w:val="0"/>
        <w:spacing w:before="88" w:beforeAutospacing="off" w:after="0" w:afterAutospacing="off" w:line="288" w:lineRule="auto"/>
        <w:ind w:left="330" w:right="141" w:hanging="210"/>
        <w:jc w:val="left"/>
        <w:rPr>
          <w:noProof w:val="0"/>
          <w:color w:val="212121"/>
          <w:sz w:val="21"/>
          <w:szCs w:val="21"/>
          <w:lang w:val="en-US"/>
        </w:rPr>
      </w:pPr>
      <w:r w:rsidRPr="1C99BC42" w:rsidR="1C99BC42">
        <w:rPr>
          <w:color w:val="212121"/>
          <w:sz w:val="21"/>
          <w:szCs w:val="21"/>
        </w:rPr>
        <w:t>Cleared cash settlement breaks against tight cutoffs, coordinating directly with counterparties and keeping internal controls documentation current.</w:t>
      </w:r>
    </w:p>
    <w:p xmlns:wp14="http://schemas.microsoft.com/office/word/2010/wordml" w:rsidP="1C99BC42" w14:paraId="0961180B" wp14:textId="518BD994">
      <w:pPr>
        <w:pStyle w:val="ListParagraph"/>
        <w:numPr>
          <w:ilvl w:val="0"/>
          <w:numId w:val="1"/>
        </w:numPr>
        <w:suppressLineNumbers w:val="0"/>
        <w:tabs>
          <w:tab w:val="left" w:leader="none" w:pos="330"/>
        </w:tabs>
        <w:bidi w:val="0"/>
        <w:spacing w:before="88" w:beforeAutospacing="off" w:after="0" w:afterAutospacing="off" w:line="288" w:lineRule="auto"/>
        <w:ind w:left="330" w:right="141" w:hanging="210"/>
        <w:jc w:val="left"/>
        <w:rPr>
          <w:noProof w:val="0"/>
          <w:color w:val="212121"/>
          <w:sz w:val="21"/>
          <w:szCs w:val="21"/>
          <w:lang w:val="en-US"/>
        </w:rPr>
      </w:pPr>
      <w:r w:rsidRPr="1C99BC42" w:rsidR="630EC3CD">
        <w:rPr>
          <w:noProof w:val="0"/>
          <w:color w:val="212121"/>
          <w:sz w:val="21"/>
          <w:szCs w:val="21"/>
          <w:lang w:val="en-US"/>
        </w:rPr>
        <w:t xml:space="preserve">Managed trade settlement activities across the syndicated loan lifecycle, validating settlement instructions, cash movements and transaction processing within defined cut-off timelines. </w:t>
      </w:r>
    </w:p>
    <w:p xmlns:wp14="http://schemas.microsoft.com/office/word/2010/wordml" w:rsidP="1C99BC42" w14:paraId="0C193677" wp14:textId="3B683B61">
      <w:pPr>
        <w:pStyle w:val="ListParagraph"/>
        <w:numPr>
          <w:ilvl w:val="0"/>
          <w:numId w:val="1"/>
        </w:numPr>
        <w:suppressLineNumbers w:val="0"/>
        <w:bidi w:val="0"/>
        <w:spacing w:before="88" w:beforeAutospacing="off" w:after="0" w:afterAutospacing="off" w:line="288" w:lineRule="auto"/>
        <w:ind w:left="330" w:right="141" w:hanging="210"/>
        <w:jc w:val="left"/>
        <w:rPr>
          <w:noProof w:val="0"/>
          <w:color w:val="212121"/>
          <w:sz w:val="21"/>
          <w:szCs w:val="21"/>
          <w:lang w:val="en-US"/>
        </w:rPr>
      </w:pPr>
      <w:r w:rsidRPr="1C99BC42" w:rsidR="630EC3CD">
        <w:rPr>
          <w:noProof w:val="0"/>
          <w:color w:val="212121"/>
          <w:sz w:val="21"/>
          <w:szCs w:val="21"/>
          <w:lang w:val="en-US"/>
        </w:rPr>
        <w:t xml:space="preserve">Investigated settlement exceptions, cash breaks and transaction discrepancies by coordinating with Agent Banks, Counterparties and Internal Operations teams to ensure accurate settlement processing. </w:t>
      </w:r>
    </w:p>
    <w:p xmlns:wp14="http://schemas.microsoft.com/office/word/2010/wordml" w:rsidP="1C99BC42" w14:paraId="2788B39B" wp14:textId="76DE8BF5">
      <w:pPr>
        <w:pStyle w:val="ListParagraph"/>
        <w:numPr>
          <w:ilvl w:val="0"/>
          <w:numId w:val="1"/>
        </w:numPr>
        <w:suppressLineNumbers w:val="0"/>
        <w:bidi w:val="0"/>
        <w:spacing w:before="88" w:beforeAutospacing="off" w:after="0" w:afterAutospacing="off" w:line="288" w:lineRule="auto"/>
        <w:ind w:left="330" w:right="141" w:hanging="210"/>
        <w:jc w:val="left"/>
        <w:rPr>
          <w:noProof w:val="0"/>
          <w:color w:val="212121"/>
          <w:sz w:val="21"/>
          <w:szCs w:val="21"/>
          <w:lang w:val="en-US"/>
        </w:rPr>
      </w:pPr>
      <w:r w:rsidRPr="1C99BC42" w:rsidR="630EC3CD">
        <w:rPr>
          <w:noProof w:val="0"/>
          <w:color w:val="212121"/>
          <w:sz w:val="21"/>
          <w:szCs w:val="21"/>
          <w:lang w:val="en-US"/>
        </w:rPr>
        <w:t>Performed interest accrual validation, fee verification and commitment reconciliation across multiple syndicated loan facilities while maintaining compliance with internal controls and operational procedures.</w:t>
      </w:r>
    </w:p>
    <w:p xmlns:wp14="http://schemas.microsoft.com/office/word/2010/wordml" w:rsidP="1C99BC42" w14:paraId="202B723C" wp14:textId="485BF8A1">
      <w:pPr>
        <w:pStyle w:val="ListParagraph"/>
        <w:suppressLineNumbers w:val="0"/>
        <w:tabs>
          <w:tab w:val="left" w:leader="none" w:pos="330"/>
        </w:tabs>
        <w:bidi w:val="0"/>
        <w:spacing w:before="88" w:beforeAutospacing="off" w:after="0" w:afterAutospacing="off" w:line="288" w:lineRule="auto"/>
        <w:ind w:left="330" w:right="141" w:hanging="210"/>
        <w:jc w:val="left"/>
        <w:rPr>
          <w:color w:val="212121"/>
          <w:sz w:val="21"/>
          <w:szCs w:val="21"/>
        </w:rPr>
      </w:pPr>
    </w:p>
    <w:p xmlns:wp14="http://schemas.microsoft.com/office/word/2010/wordml" w14:paraId="6978D9C3" wp14:textId="77777777">
      <w:pPr>
        <w:pStyle w:val="Heading3"/>
        <w:spacing w:before="241"/>
      </w:pPr>
      <w:bookmarkStart w:name="KEY ACHIEVEMENTS" w:id="7"/>
      <w:bookmarkEnd w:id="7"/>
      <w:r>
        <w:rPr>
          <w:b w:val="0"/>
        </w:rPr>
      </w:r>
      <w:r>
        <w:rPr>
          <w:color w:val="1F3864"/>
          <w:w w:val="105"/>
        </w:rPr>
        <w:t>KEY</w:t>
      </w:r>
      <w:r>
        <w:rPr>
          <w:color w:val="1F3864"/>
          <w:spacing w:val="43"/>
          <w:w w:val="105"/>
        </w:rPr>
        <w:t> </w:t>
      </w:r>
      <w:r>
        <w:rPr>
          <w:color w:val="1F3864"/>
          <w:spacing w:val="9"/>
          <w:w w:val="105"/>
        </w:rPr>
        <w:t>ACHIEVEMENTS</w:t>
      </w:r>
    </w:p>
    <w:p xmlns:wp14="http://schemas.microsoft.com/office/word/2010/wordml" w14:paraId="5EF2C4C7" wp14:textId="77777777">
      <w:pPr>
        <w:pStyle w:val="BodyText"/>
        <w:spacing w:before="9"/>
        <w:ind w:left="0" w:firstLine="0"/>
        <w:rPr>
          <w:b/>
          <w:sz w:val="3"/>
        </w:rPr>
      </w:pPr>
      <w:r>
        <w:rPr>
          <w:b/>
          <w:sz w:val="3"/>
        </w:rPr>
        <mc:AlternateContent>
          <mc:Choice Requires="wps">
            <w:drawing>
              <wp:anchor xmlns:wp14="http://schemas.microsoft.com/office/word/2010/wordprocessingDrawing" distT="0" distB="0" distL="0" distR="0" simplePos="0" relativeHeight="487589888" behindDoc="1" locked="0" layoutInCell="1" allowOverlap="1" wp14:anchorId="17C0559F" wp14:editId="7777777">
                <wp:simplePos x="0" y="0"/>
                <wp:positionH relativeFrom="page">
                  <wp:posOffset>616200</wp:posOffset>
                </wp:positionH>
                <wp:positionV relativeFrom="paragraph">
                  <wp:posOffset>44767</wp:posOffset>
                </wp:positionV>
                <wp:extent cx="6327775" cy="889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327775" cy="8890"/>
                        </a:xfrm>
                        <a:custGeom>
                          <a:avLst/>
                          <a:gdLst/>
                          <a:ahLst/>
                          <a:cxnLst/>
                          <a:rect l="l" t="t" r="r" b="b"/>
                          <a:pathLst>
                            <a:path w="6327775" h="8890">
                              <a:moveTo>
                                <a:pt x="6327600" y="8572"/>
                              </a:moveTo>
                              <a:lnTo>
                                <a:pt x="0" y="8572"/>
                              </a:lnTo>
                              <a:lnTo>
                                <a:pt x="0" y="0"/>
                              </a:lnTo>
                              <a:lnTo>
                                <a:pt x="6327600" y="0"/>
                              </a:lnTo>
                              <a:lnTo>
                                <a:pt x="6327600" y="8572"/>
                              </a:lnTo>
                              <a:close/>
                            </a:path>
                          </a:pathLst>
                        </a:custGeom>
                        <a:solidFill>
                          <a:srgbClr val="B3C6E6"/>
                        </a:solidFill>
                      </wps:spPr>
                      <wps:bodyPr wrap="square" lIns="0" tIns="0" rIns="0" bIns="0" rtlCol="0">
                        <a:prstTxWarp prst="textNoShape">
                          <a:avLst/>
                        </a:prstTxWarp>
                        <a:noAutofit/>
                      </wps:bodyPr>
                    </wps:wsp>
                  </a:graphicData>
                </a:graphic>
              </wp:anchor>
            </w:drawing>
          </mc:Choice>
          <mc:Fallback>
            <w:pict w14:anchorId="2ADA9535">
              <v:rect id="docshape5" style="position:absolute;margin-left:48.519688pt;margin-top:3.52499pt;width:498.236236pt;height:.675pt;mso-position-horizontal-relative:page;mso-position-vertical-relative:paragraph;z-index:-15726592;mso-wrap-distance-left:0;mso-wrap-distance-right:0" filled="true" fillcolor="#b3c6e6" stroked="false">
                <v:fill type="solid"/>
                <w10:wrap type="topAndBottom"/>
              </v:rect>
            </w:pict>
          </mc:Fallback>
        </mc:AlternateContent>
      </w:r>
    </w:p>
    <w:p xmlns:wp14="http://schemas.microsoft.com/office/word/2010/wordml" w14:paraId="685A74F1" wp14:textId="77777777">
      <w:pPr>
        <w:pStyle w:val="ListParagraph"/>
        <w:numPr>
          <w:ilvl w:val="0"/>
          <w:numId w:val="1"/>
        </w:numPr>
        <w:tabs>
          <w:tab w:val="left" w:leader="none" w:pos="330"/>
        </w:tabs>
        <w:spacing w:before="132" w:after="0" w:line="288" w:lineRule="auto"/>
        <w:ind w:left="330" w:right="352" w:hanging="210"/>
        <w:jc w:val="left"/>
        <w:rPr>
          <w:sz w:val="21"/>
        </w:rPr>
      </w:pPr>
      <w:r>
        <w:rPr>
          <w:color w:val="212121"/>
          <w:sz w:val="21"/>
        </w:rPr>
        <w:t>Zero missed NAV or reporting deadlines in 3+ years at Northern Trust, across every quarter-end and year-end close while running multiple client portfolios in parallel.</w:t>
      </w:r>
    </w:p>
    <w:p xmlns:wp14="http://schemas.microsoft.com/office/word/2010/wordml" w14:paraId="36B2D560" wp14:textId="77777777">
      <w:pPr>
        <w:pStyle w:val="ListParagraph"/>
        <w:numPr>
          <w:ilvl w:val="0"/>
          <w:numId w:val="1"/>
        </w:numPr>
        <w:tabs>
          <w:tab w:val="left" w:leader="none" w:pos="330"/>
        </w:tabs>
        <w:spacing w:before="88" w:after="0" w:line="288" w:lineRule="auto"/>
        <w:ind w:left="330" w:right="862" w:hanging="210"/>
        <w:jc w:val="left"/>
        <w:rPr>
          <w:sz w:val="21"/>
        </w:rPr>
      </w:pPr>
      <w:r>
        <w:rPr>
          <w:color w:val="212121"/>
          <w:sz w:val="21"/>
        </w:rPr>
        <w:t>Promoted from Fund Accountant to Senior Fund Accountant within three years, on the strength of NAV accuracy, reconciliation ownership and audit support quality.</w:t>
      </w:r>
    </w:p>
    <w:p xmlns:wp14="http://schemas.microsoft.com/office/word/2010/wordml" w14:paraId="5353548A" wp14:textId="77777777">
      <w:pPr>
        <w:pStyle w:val="ListParagraph"/>
        <w:numPr>
          <w:ilvl w:val="0"/>
          <w:numId w:val="1"/>
        </w:numPr>
        <w:tabs>
          <w:tab w:val="left" w:leader="none" w:pos="329"/>
        </w:tabs>
        <w:spacing w:before="88" w:after="0" w:line="240" w:lineRule="auto"/>
        <w:ind w:left="329" w:right="0" w:hanging="209"/>
        <w:jc w:val="left"/>
        <w:rPr>
          <w:sz w:val="21"/>
        </w:rPr>
      </w:pPr>
      <w:r>
        <w:rPr>
          <w:color w:val="212121"/>
          <w:sz w:val="21"/>
        </w:rPr>
        <w:t>Trained</w:t>
      </w:r>
      <w:r>
        <w:rPr>
          <w:color w:val="212121"/>
          <w:spacing w:val="4"/>
          <w:sz w:val="21"/>
        </w:rPr>
        <w:t> </w:t>
      </w:r>
      <w:r>
        <w:rPr>
          <w:color w:val="212121"/>
          <w:sz w:val="21"/>
        </w:rPr>
        <w:t>and</w:t>
      </w:r>
      <w:r>
        <w:rPr>
          <w:color w:val="212121"/>
          <w:spacing w:val="5"/>
          <w:sz w:val="21"/>
        </w:rPr>
        <w:t> </w:t>
      </w:r>
      <w:r>
        <w:rPr>
          <w:color w:val="212121"/>
          <w:sz w:val="21"/>
        </w:rPr>
        <w:t>mentored</w:t>
      </w:r>
      <w:r>
        <w:rPr>
          <w:color w:val="212121"/>
          <w:spacing w:val="5"/>
          <w:sz w:val="21"/>
        </w:rPr>
        <w:t> </w:t>
      </w:r>
      <w:r>
        <w:rPr>
          <w:color w:val="212121"/>
          <w:sz w:val="21"/>
        </w:rPr>
        <w:t>new</w:t>
      </w:r>
      <w:r>
        <w:rPr>
          <w:color w:val="212121"/>
          <w:spacing w:val="5"/>
          <w:sz w:val="21"/>
        </w:rPr>
        <w:t> </w:t>
      </w:r>
      <w:r>
        <w:rPr>
          <w:color w:val="212121"/>
          <w:sz w:val="21"/>
        </w:rPr>
        <w:t>joiners</w:t>
      </w:r>
      <w:r>
        <w:rPr>
          <w:color w:val="212121"/>
          <w:spacing w:val="5"/>
          <w:sz w:val="21"/>
        </w:rPr>
        <w:t> </w:t>
      </w:r>
      <w:r>
        <w:rPr>
          <w:color w:val="212121"/>
          <w:sz w:val="21"/>
        </w:rPr>
        <w:t>on</w:t>
      </w:r>
      <w:r>
        <w:rPr>
          <w:color w:val="212121"/>
          <w:spacing w:val="5"/>
          <w:sz w:val="21"/>
        </w:rPr>
        <w:t> </w:t>
      </w:r>
      <w:r>
        <w:rPr>
          <w:color w:val="212121"/>
          <w:sz w:val="21"/>
        </w:rPr>
        <w:t>NAV</w:t>
      </w:r>
      <w:r>
        <w:rPr>
          <w:color w:val="212121"/>
          <w:spacing w:val="5"/>
          <w:sz w:val="21"/>
        </w:rPr>
        <w:t> </w:t>
      </w:r>
      <w:r>
        <w:rPr>
          <w:color w:val="212121"/>
          <w:sz w:val="21"/>
        </w:rPr>
        <w:t>production,</w:t>
      </w:r>
      <w:r>
        <w:rPr>
          <w:color w:val="212121"/>
          <w:spacing w:val="5"/>
          <w:sz w:val="21"/>
        </w:rPr>
        <w:t> </w:t>
      </w:r>
      <w:r>
        <w:rPr>
          <w:color w:val="212121"/>
          <w:sz w:val="21"/>
        </w:rPr>
        <w:t>reconciliation</w:t>
      </w:r>
      <w:r>
        <w:rPr>
          <w:color w:val="212121"/>
          <w:spacing w:val="5"/>
          <w:sz w:val="21"/>
        </w:rPr>
        <w:t> </w:t>
      </w:r>
      <w:r>
        <w:rPr>
          <w:color w:val="212121"/>
          <w:sz w:val="21"/>
        </w:rPr>
        <w:t>and</w:t>
      </w:r>
      <w:r>
        <w:rPr>
          <w:color w:val="212121"/>
          <w:spacing w:val="5"/>
          <w:sz w:val="21"/>
        </w:rPr>
        <w:t> </w:t>
      </w:r>
      <w:r>
        <w:rPr>
          <w:color w:val="212121"/>
          <w:sz w:val="21"/>
        </w:rPr>
        <w:t>maker-checker</w:t>
      </w:r>
      <w:r>
        <w:rPr>
          <w:color w:val="212121"/>
          <w:spacing w:val="5"/>
          <w:sz w:val="21"/>
        </w:rPr>
        <w:t> </w:t>
      </w:r>
      <w:r>
        <w:rPr>
          <w:color w:val="212121"/>
          <w:sz w:val="21"/>
        </w:rPr>
        <w:t>control</w:t>
      </w:r>
      <w:r>
        <w:rPr>
          <w:color w:val="212121"/>
          <w:spacing w:val="5"/>
          <w:sz w:val="21"/>
        </w:rPr>
        <w:t> </w:t>
      </w:r>
      <w:r>
        <w:rPr>
          <w:color w:val="212121"/>
          <w:spacing w:val="-2"/>
          <w:sz w:val="21"/>
        </w:rPr>
        <w:t>procedures.</w:t>
      </w:r>
    </w:p>
    <w:p xmlns:wp14="http://schemas.microsoft.com/office/word/2010/wordml" w14:paraId="5DAB6C7B" wp14:textId="77777777">
      <w:pPr>
        <w:pStyle w:val="BodyText"/>
        <w:spacing w:before="37"/>
        <w:ind w:left="0" w:firstLine="0"/>
      </w:pPr>
    </w:p>
    <w:p xmlns:wp14="http://schemas.microsoft.com/office/word/2010/wordml" w14:paraId="229C630D" wp14:textId="77777777">
      <w:pPr>
        <w:pStyle w:val="Heading3"/>
      </w:pPr>
      <w:bookmarkStart w:name="EDUCATION &amp; CERTIFICATIONS" w:id="8"/>
      <w:bookmarkEnd w:id="8"/>
      <w:r>
        <w:rPr>
          <w:b w:val="0"/>
        </w:rPr>
      </w:r>
      <w:r>
        <w:rPr>
          <w:color w:val="1F3864"/>
          <w:spacing w:val="9"/>
          <w:w w:val="105"/>
        </w:rPr>
        <w:t>EDUCATION</w:t>
      </w:r>
      <w:r>
        <w:rPr>
          <w:color w:val="1F3864"/>
          <w:spacing w:val="14"/>
          <w:w w:val="105"/>
        </w:rPr>
        <w:t> </w:t>
      </w:r>
      <w:r>
        <w:rPr>
          <w:color w:val="1F3864"/>
          <w:w w:val="105"/>
        </w:rPr>
        <w:t>&amp;</w:t>
      </w:r>
      <w:r>
        <w:rPr>
          <w:color w:val="1F3864"/>
          <w:spacing w:val="14"/>
          <w:w w:val="105"/>
        </w:rPr>
        <w:t> </w:t>
      </w:r>
      <w:r>
        <w:rPr>
          <w:color w:val="1F3864"/>
          <w:spacing w:val="8"/>
          <w:w w:val="105"/>
        </w:rPr>
        <w:t>CERTIFICATIONS</w:t>
      </w:r>
    </w:p>
    <w:p xmlns:wp14="http://schemas.microsoft.com/office/word/2010/wordml" w14:paraId="34394D35" wp14:textId="77777777">
      <w:pPr>
        <w:pStyle w:val="BodyText"/>
        <w:spacing w:before="10"/>
        <w:ind w:left="0" w:firstLine="0"/>
        <w:rPr>
          <w:b/>
          <w:sz w:val="3"/>
        </w:rPr>
      </w:pPr>
      <w:r>
        <w:rPr>
          <w:b/>
          <w:sz w:val="3"/>
        </w:rPr>
        <mc:AlternateContent>
          <mc:Choice Requires="wps">
            <w:drawing>
              <wp:anchor xmlns:wp14="http://schemas.microsoft.com/office/word/2010/wordprocessingDrawing" distT="0" distB="0" distL="0" distR="0" simplePos="0" relativeHeight="487590400" behindDoc="1" locked="0" layoutInCell="1" allowOverlap="1" wp14:anchorId="5441C0AF" wp14:editId="7777777">
                <wp:simplePos x="0" y="0"/>
                <wp:positionH relativeFrom="page">
                  <wp:posOffset>616200</wp:posOffset>
                </wp:positionH>
                <wp:positionV relativeFrom="paragraph">
                  <wp:posOffset>44857</wp:posOffset>
                </wp:positionV>
                <wp:extent cx="6327775" cy="889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327775" cy="8890"/>
                        </a:xfrm>
                        <a:custGeom>
                          <a:avLst/>
                          <a:gdLst/>
                          <a:ahLst/>
                          <a:cxnLst/>
                          <a:rect l="l" t="t" r="r" b="b"/>
                          <a:pathLst>
                            <a:path w="6327775" h="8890">
                              <a:moveTo>
                                <a:pt x="6327600" y="8572"/>
                              </a:moveTo>
                              <a:lnTo>
                                <a:pt x="0" y="8572"/>
                              </a:lnTo>
                              <a:lnTo>
                                <a:pt x="0" y="0"/>
                              </a:lnTo>
                              <a:lnTo>
                                <a:pt x="6327600" y="0"/>
                              </a:lnTo>
                              <a:lnTo>
                                <a:pt x="6327600" y="8572"/>
                              </a:lnTo>
                              <a:close/>
                            </a:path>
                          </a:pathLst>
                        </a:custGeom>
                        <a:solidFill>
                          <a:srgbClr val="B3C6E6"/>
                        </a:solidFill>
                      </wps:spPr>
                      <wps:bodyPr wrap="square" lIns="0" tIns="0" rIns="0" bIns="0" rtlCol="0">
                        <a:prstTxWarp prst="textNoShape">
                          <a:avLst/>
                        </a:prstTxWarp>
                        <a:noAutofit/>
                      </wps:bodyPr>
                    </wps:wsp>
                  </a:graphicData>
                </a:graphic>
              </wp:anchor>
            </w:drawing>
          </mc:Choice>
          <mc:Fallback>
            <w:pict w14:anchorId="5468007C">
              <v:rect id="docshape6" style="position:absolute;margin-left:48.519688pt;margin-top:3.532066pt;width:498.236236pt;height:.675pt;mso-position-horizontal-relative:page;mso-position-vertical-relative:paragraph;z-index:-15726080;mso-wrap-distance-left:0;mso-wrap-distance-right:0" filled="true" fillcolor="#b3c6e6" stroked="false">
                <v:fill type="solid"/>
                <w10:wrap type="topAndBottom"/>
              </v:rect>
            </w:pict>
          </mc:Fallback>
        </mc:AlternateContent>
      </w:r>
    </w:p>
    <w:p xmlns:wp14="http://schemas.microsoft.com/office/word/2010/wordml" w14:paraId="63446000" wp14:textId="77777777">
      <w:pPr>
        <w:spacing w:before="132"/>
        <w:ind w:left="120" w:right="0" w:firstLine="0"/>
        <w:jc w:val="left"/>
        <w:rPr>
          <w:sz w:val="21"/>
        </w:rPr>
      </w:pPr>
      <w:r>
        <w:rPr>
          <w:b/>
          <w:color w:val="111111"/>
          <w:sz w:val="21"/>
        </w:rPr>
        <w:t>Bachelor</w:t>
      </w:r>
      <w:r>
        <w:rPr>
          <w:b/>
          <w:color w:val="111111"/>
          <w:spacing w:val="8"/>
          <w:sz w:val="21"/>
        </w:rPr>
        <w:t> </w:t>
      </w:r>
      <w:r>
        <w:rPr>
          <w:b/>
          <w:color w:val="111111"/>
          <w:sz w:val="21"/>
        </w:rPr>
        <w:t>of</w:t>
      </w:r>
      <w:r>
        <w:rPr>
          <w:b/>
          <w:color w:val="111111"/>
          <w:spacing w:val="8"/>
          <w:sz w:val="21"/>
        </w:rPr>
        <w:t> </w:t>
      </w:r>
      <w:r>
        <w:rPr>
          <w:b/>
          <w:color w:val="111111"/>
          <w:sz w:val="21"/>
        </w:rPr>
        <w:t>Commerce</w:t>
      </w:r>
      <w:r>
        <w:rPr>
          <w:b/>
          <w:color w:val="111111"/>
          <w:spacing w:val="8"/>
          <w:sz w:val="21"/>
        </w:rPr>
        <w:t> </w:t>
      </w:r>
      <w:r>
        <w:rPr>
          <w:b/>
          <w:color w:val="111111"/>
          <w:sz w:val="21"/>
        </w:rPr>
        <w:t>(B.Com)</w:t>
      </w:r>
      <w:r>
        <w:rPr>
          <w:b/>
          <w:color w:val="111111"/>
          <w:spacing w:val="9"/>
          <w:sz w:val="21"/>
        </w:rPr>
        <w:t> </w:t>
      </w:r>
      <w:r>
        <w:rPr>
          <w:color w:val="212121"/>
          <w:sz w:val="21"/>
        </w:rPr>
        <w:t>—</w:t>
      </w:r>
      <w:r>
        <w:rPr>
          <w:color w:val="212121"/>
          <w:spacing w:val="8"/>
          <w:sz w:val="21"/>
        </w:rPr>
        <w:t> </w:t>
      </w:r>
      <w:r>
        <w:rPr>
          <w:color w:val="212121"/>
          <w:sz w:val="21"/>
        </w:rPr>
        <w:t>Ness</w:t>
      </w:r>
      <w:r>
        <w:rPr>
          <w:color w:val="212121"/>
          <w:spacing w:val="8"/>
          <w:sz w:val="21"/>
        </w:rPr>
        <w:t> </w:t>
      </w:r>
      <w:r>
        <w:rPr>
          <w:color w:val="212121"/>
          <w:sz w:val="21"/>
        </w:rPr>
        <w:t>Wadia</w:t>
      </w:r>
      <w:r>
        <w:rPr>
          <w:color w:val="212121"/>
          <w:spacing w:val="9"/>
          <w:sz w:val="21"/>
        </w:rPr>
        <w:t> </w:t>
      </w:r>
      <w:r>
        <w:rPr>
          <w:color w:val="212121"/>
          <w:sz w:val="21"/>
        </w:rPr>
        <w:t>College</w:t>
      </w:r>
      <w:r>
        <w:rPr>
          <w:color w:val="212121"/>
          <w:spacing w:val="8"/>
          <w:sz w:val="21"/>
        </w:rPr>
        <w:t> </w:t>
      </w:r>
      <w:r>
        <w:rPr>
          <w:color w:val="212121"/>
          <w:sz w:val="21"/>
        </w:rPr>
        <w:t>of</w:t>
      </w:r>
      <w:r>
        <w:rPr>
          <w:color w:val="212121"/>
          <w:spacing w:val="8"/>
          <w:sz w:val="21"/>
        </w:rPr>
        <w:t> </w:t>
      </w:r>
      <w:r>
        <w:rPr>
          <w:color w:val="212121"/>
          <w:sz w:val="21"/>
        </w:rPr>
        <w:t>Commerce,</w:t>
      </w:r>
      <w:r>
        <w:rPr>
          <w:color w:val="212121"/>
          <w:spacing w:val="9"/>
          <w:sz w:val="21"/>
        </w:rPr>
        <w:t> </w:t>
      </w:r>
      <w:r>
        <w:rPr>
          <w:color w:val="212121"/>
          <w:sz w:val="21"/>
        </w:rPr>
        <w:t>Pune</w:t>
      </w:r>
      <w:r>
        <w:rPr>
          <w:color w:val="212121"/>
          <w:spacing w:val="8"/>
          <w:sz w:val="21"/>
        </w:rPr>
        <w:t> </w:t>
      </w:r>
      <w:r>
        <w:rPr>
          <w:color w:val="212121"/>
          <w:sz w:val="21"/>
        </w:rPr>
        <w:t>(74.17%)</w:t>
      </w:r>
      <w:r>
        <w:rPr>
          <w:color w:val="212121"/>
          <w:spacing w:val="8"/>
          <w:sz w:val="21"/>
        </w:rPr>
        <w:t> </w:t>
      </w:r>
      <w:r>
        <w:rPr>
          <w:color w:val="212121"/>
          <w:sz w:val="21"/>
        </w:rPr>
        <w:t>·</w:t>
      </w:r>
      <w:r>
        <w:rPr>
          <w:color w:val="212121"/>
          <w:spacing w:val="9"/>
          <w:sz w:val="21"/>
        </w:rPr>
        <w:t> </w:t>
      </w:r>
      <w:r>
        <w:rPr>
          <w:color w:val="212121"/>
          <w:spacing w:val="-4"/>
          <w:sz w:val="21"/>
        </w:rPr>
        <w:t>2021</w:t>
      </w:r>
    </w:p>
    <w:p xmlns:wp14="http://schemas.microsoft.com/office/word/2010/wordml" w14:paraId="6690EDE4" wp14:textId="77777777">
      <w:pPr>
        <w:spacing w:before="155"/>
        <w:ind w:left="120" w:right="0" w:firstLine="0"/>
        <w:jc w:val="left"/>
        <w:rPr>
          <w:sz w:val="21"/>
        </w:rPr>
      </w:pPr>
      <w:r>
        <w:rPr>
          <w:b/>
          <w:color w:val="111111"/>
          <w:sz w:val="21"/>
        </w:rPr>
        <w:t>CFA</w:t>
      </w:r>
      <w:r>
        <w:rPr>
          <w:b/>
          <w:color w:val="111111"/>
          <w:spacing w:val="2"/>
          <w:sz w:val="21"/>
        </w:rPr>
        <w:t> </w:t>
      </w:r>
      <w:r>
        <w:rPr>
          <w:b/>
          <w:color w:val="111111"/>
          <w:sz w:val="21"/>
        </w:rPr>
        <w:t>Level</w:t>
      </w:r>
      <w:r>
        <w:rPr>
          <w:b/>
          <w:color w:val="111111"/>
          <w:spacing w:val="3"/>
          <w:sz w:val="21"/>
        </w:rPr>
        <w:t> </w:t>
      </w:r>
      <w:r>
        <w:rPr>
          <w:b/>
          <w:color w:val="111111"/>
          <w:sz w:val="21"/>
        </w:rPr>
        <w:t>I</w:t>
      </w:r>
      <w:r>
        <w:rPr>
          <w:b/>
          <w:color w:val="111111"/>
          <w:spacing w:val="3"/>
          <w:sz w:val="21"/>
        </w:rPr>
        <w:t> </w:t>
      </w:r>
      <w:r>
        <w:rPr>
          <w:b/>
          <w:color w:val="111111"/>
          <w:sz w:val="21"/>
        </w:rPr>
        <w:t>Candidate</w:t>
      </w:r>
      <w:r>
        <w:rPr>
          <w:b/>
          <w:color w:val="111111"/>
          <w:spacing w:val="2"/>
          <w:sz w:val="21"/>
        </w:rPr>
        <w:t> </w:t>
      </w:r>
      <w:r>
        <w:rPr>
          <w:color w:val="212121"/>
          <w:sz w:val="21"/>
        </w:rPr>
        <w:t>—</w:t>
      </w:r>
      <w:r>
        <w:rPr>
          <w:color w:val="212121"/>
          <w:spacing w:val="3"/>
          <w:sz w:val="21"/>
        </w:rPr>
        <w:t> </w:t>
      </w:r>
      <w:r>
        <w:rPr>
          <w:color w:val="212121"/>
          <w:sz w:val="21"/>
        </w:rPr>
        <w:t>CFA</w:t>
      </w:r>
      <w:r>
        <w:rPr>
          <w:color w:val="212121"/>
          <w:spacing w:val="3"/>
          <w:sz w:val="21"/>
        </w:rPr>
        <w:t> </w:t>
      </w:r>
      <w:r>
        <w:rPr>
          <w:color w:val="212121"/>
          <w:sz w:val="21"/>
        </w:rPr>
        <w:t>Institute</w:t>
      </w:r>
      <w:r>
        <w:rPr>
          <w:color w:val="212121"/>
          <w:spacing w:val="3"/>
          <w:sz w:val="21"/>
        </w:rPr>
        <w:t> </w:t>
      </w:r>
      <w:r>
        <w:rPr>
          <w:color w:val="212121"/>
          <w:sz w:val="21"/>
        </w:rPr>
        <w:t>(in</w:t>
      </w:r>
      <w:r>
        <w:rPr>
          <w:color w:val="212121"/>
          <w:spacing w:val="3"/>
          <w:sz w:val="21"/>
        </w:rPr>
        <w:t> </w:t>
      </w:r>
      <w:r>
        <w:rPr>
          <w:color w:val="212121"/>
          <w:spacing w:val="-2"/>
          <w:sz w:val="21"/>
        </w:rPr>
        <w:t>progress)</w:t>
      </w:r>
    </w:p>
    <w:sectPr>
      <w:pgSz w:w="11910" w:h="16840" w:orient="portrait"/>
      <w:pgMar w:top="720" w:right="850" w:bottom="280" w:left="85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e03f5c4"/>
    <w:multiLevelType w:val="hybridMultilevel"/>
    <w:lvl w:ilvl="0">
      <w:start w:val="0"/>
      <w:numFmt w:val="bullet"/>
      <w:lvlText w:val="•"/>
      <w:lvlJc w:val="left"/>
      <w:pPr>
        <w:ind w:left="330" w:hanging="210"/>
      </w:pPr>
      <w:rPr>
        <w:rFonts w:hint="default" w:ascii="Calibri" w:hAnsi="Calibri" w:eastAsia="Calibri" w:cs="Calibri"/>
        <w:b w:val="0"/>
        <w:bCs w:val="0"/>
        <w:i w:val="0"/>
        <w:iCs w:val="0"/>
        <w:color w:val="1F3864"/>
        <w:spacing w:val="0"/>
        <w:w w:val="102"/>
        <w:sz w:val="21"/>
        <w:szCs w:val="21"/>
        <w:lang w:val="en-US" w:eastAsia="en-US" w:bidi="ar-SA"/>
      </w:rPr>
    </w:lvl>
    <w:lvl w:ilvl="1">
      <w:start w:val="0"/>
      <w:numFmt w:val="bullet"/>
      <w:lvlText w:val="•"/>
      <w:lvlJc w:val="left"/>
      <w:pPr>
        <w:ind w:left="1326" w:hanging="210"/>
      </w:pPr>
      <w:rPr>
        <w:rFonts w:hint="default"/>
        <w:lang w:val="en-US" w:eastAsia="en-US" w:bidi="ar-SA"/>
      </w:rPr>
    </w:lvl>
    <w:lvl w:ilvl="2">
      <w:start w:val="0"/>
      <w:numFmt w:val="bullet"/>
      <w:lvlText w:val="•"/>
      <w:lvlJc w:val="left"/>
      <w:pPr>
        <w:ind w:left="2313" w:hanging="210"/>
      </w:pPr>
      <w:rPr>
        <w:rFonts w:hint="default"/>
        <w:lang w:val="en-US" w:eastAsia="en-US" w:bidi="ar-SA"/>
      </w:rPr>
    </w:lvl>
    <w:lvl w:ilvl="3">
      <w:start w:val="0"/>
      <w:numFmt w:val="bullet"/>
      <w:lvlText w:val="•"/>
      <w:lvlJc w:val="left"/>
      <w:pPr>
        <w:ind w:left="3299" w:hanging="210"/>
      </w:pPr>
      <w:rPr>
        <w:rFonts w:hint="default"/>
        <w:lang w:val="en-US" w:eastAsia="en-US" w:bidi="ar-SA"/>
      </w:rPr>
    </w:lvl>
    <w:lvl w:ilvl="4">
      <w:start w:val="0"/>
      <w:numFmt w:val="bullet"/>
      <w:lvlText w:val="•"/>
      <w:lvlJc w:val="left"/>
      <w:pPr>
        <w:ind w:left="4286" w:hanging="210"/>
      </w:pPr>
      <w:rPr>
        <w:rFonts w:hint="default"/>
        <w:lang w:val="en-US" w:eastAsia="en-US" w:bidi="ar-SA"/>
      </w:rPr>
    </w:lvl>
    <w:lvl w:ilvl="5">
      <w:start w:val="0"/>
      <w:numFmt w:val="bullet"/>
      <w:lvlText w:val="•"/>
      <w:lvlJc w:val="left"/>
      <w:pPr>
        <w:ind w:left="5272" w:hanging="210"/>
      </w:pPr>
      <w:rPr>
        <w:rFonts w:hint="default"/>
        <w:lang w:val="en-US" w:eastAsia="en-US" w:bidi="ar-SA"/>
      </w:rPr>
    </w:lvl>
    <w:lvl w:ilvl="6">
      <w:start w:val="0"/>
      <w:numFmt w:val="bullet"/>
      <w:lvlText w:val="•"/>
      <w:lvlJc w:val="left"/>
      <w:pPr>
        <w:ind w:left="6259" w:hanging="210"/>
      </w:pPr>
      <w:rPr>
        <w:rFonts w:hint="default"/>
        <w:lang w:val="en-US" w:eastAsia="en-US" w:bidi="ar-SA"/>
      </w:rPr>
    </w:lvl>
    <w:lvl w:ilvl="7">
      <w:start w:val="0"/>
      <w:numFmt w:val="bullet"/>
      <w:lvlText w:val="•"/>
      <w:lvlJc w:val="left"/>
      <w:pPr>
        <w:ind w:left="7245" w:hanging="210"/>
      </w:pPr>
      <w:rPr>
        <w:rFonts w:hint="default"/>
        <w:lang w:val="en-US" w:eastAsia="en-US" w:bidi="ar-SA"/>
      </w:rPr>
    </w:lvl>
    <w:lvl w:ilvl="8">
      <w:start w:val="0"/>
      <w:numFmt w:val="bullet"/>
      <w:lvlText w:val="•"/>
      <w:lvlJc w:val="left"/>
      <w:pPr>
        <w:ind w:left="8232" w:hanging="210"/>
      </w:pPr>
      <w:rPr>
        <w:rFonts w:hint="default"/>
        <w:lang w:val="en-US" w:eastAsia="en-US" w:bidi="ar-SA"/>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3A3B5BA6"/>
  <w15:docId w15:val="{C8C2DF99-9C1F-4F17-9813-85769A3081CF}"/>
  <w:rsids>
    <w:rsidRoot w:val="0D260681"/>
    <w:rsid w:val="0D260681"/>
    <w:rsid w:val="1C99BC42"/>
    <w:rsid w:val="1EDE3CA9"/>
    <w:rsid w:val="238DA7D8"/>
    <w:rsid w:val="409B94AF"/>
    <w:rsid w:val="45B499A5"/>
    <w:rsid w:val="630EC3CD"/>
    <w:rsid w:val="63F7241A"/>
    <w:rsid w:val="69246782"/>
    <w:rsid w:val="76828773"/>
    <w:rsid w:val="7D1442A7"/>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Calibri" w:hAnsi="Calibri" w:eastAsia="Calibri" w:cs="Calibri"/>
      <w:lang w:val="en-US" w:eastAsia="en-US" w:bidi="ar-SA"/>
    </w:rPr>
  </w:style>
  <w:style w:type="paragraph" w:styleId="BodyText">
    <w:name w:val="Body Text"/>
    <w:basedOn w:val="Normal"/>
    <w:uiPriority w:val="1"/>
    <w:qFormat/>
    <w:pPr>
      <w:spacing w:before="88"/>
      <w:ind w:left="330" w:hanging="210"/>
    </w:pPr>
    <w:rPr>
      <w:rFonts w:ascii="Calibri" w:hAnsi="Calibri" w:eastAsia="Calibri" w:cs="Calibri"/>
      <w:sz w:val="21"/>
      <w:szCs w:val="21"/>
      <w:lang w:val="en-US" w:eastAsia="en-US" w:bidi="ar-SA"/>
    </w:rPr>
  </w:style>
  <w:style w:type="paragraph" w:styleId="Heading1">
    <w:name w:val="heading 1"/>
    <w:basedOn w:val="Normal"/>
    <w:uiPriority w:val="1"/>
    <w:qFormat/>
    <w:pPr>
      <w:spacing w:before="75"/>
      <w:ind w:left="3" w:right="13"/>
      <w:jc w:val="center"/>
      <w:outlineLvl w:val="1"/>
    </w:pPr>
    <w:rPr>
      <w:rFonts w:ascii="Calibri" w:hAnsi="Calibri" w:eastAsia="Calibri" w:cs="Calibri"/>
      <w:b/>
      <w:bCs/>
      <w:sz w:val="40"/>
      <w:szCs w:val="40"/>
      <w:lang w:val="en-US" w:eastAsia="en-US" w:bidi="ar-SA"/>
    </w:rPr>
  </w:style>
  <w:style w:type="paragraph" w:styleId="Heading2">
    <w:name w:val="heading 2"/>
    <w:basedOn w:val="Normal"/>
    <w:uiPriority w:val="1"/>
    <w:qFormat/>
    <w:pPr>
      <w:spacing w:before="190"/>
      <w:ind w:left="120"/>
      <w:outlineLvl w:val="2"/>
    </w:pPr>
    <w:rPr>
      <w:rFonts w:ascii="Calibri" w:hAnsi="Calibri" w:eastAsia="Calibri" w:cs="Calibri"/>
      <w:b/>
      <w:bCs/>
      <w:sz w:val="23"/>
      <w:szCs w:val="23"/>
      <w:lang w:val="en-US" w:eastAsia="en-US" w:bidi="ar-SA"/>
    </w:rPr>
  </w:style>
  <w:style w:type="paragraph" w:styleId="Heading3">
    <w:name w:val="heading 3"/>
    <w:basedOn w:val="Normal"/>
    <w:uiPriority w:val="1"/>
    <w:qFormat/>
    <w:pPr>
      <w:ind w:left="120"/>
      <w:outlineLvl w:val="3"/>
    </w:pPr>
    <w:rPr>
      <w:rFonts w:ascii="Calibri" w:hAnsi="Calibri" w:eastAsia="Calibri" w:cs="Calibri"/>
      <w:b/>
      <w:bCs/>
      <w:sz w:val="22"/>
      <w:szCs w:val="22"/>
      <w:lang w:val="en-US" w:eastAsia="en-US" w:bidi="ar-SA"/>
    </w:rPr>
  </w:style>
  <w:style w:type="paragraph" w:styleId="ListParagraph">
    <w:name w:val="List Paragraph"/>
    <w:basedOn w:val="Normal"/>
    <w:uiPriority w:val="1"/>
    <w:qFormat/>
    <w:pPr>
      <w:spacing w:before="88"/>
      <w:ind w:left="330" w:right="246" w:hanging="210"/>
    </w:pPr>
    <w:rPr>
      <w:rFonts w:ascii="Calibri" w:hAnsi="Calibri" w:eastAsia="Calibri" w:cs="Calibri"/>
      <w:lang w:val="en-US" w:eastAsia="en-US" w:bidi="ar-SA"/>
    </w:rPr>
  </w:style>
  <w:style w:type="paragraph" w:styleId="Tabl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theme" Target="theme/theme1.xml"/><Relationship Id="rId7" Type="http://schemas.openxmlformats.org/officeDocument/2006/relationships/customXml" Target="../customXml/item1.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numbering" Target="numbering.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137313-9387-427C-AB81-56264F8C6AAD}"/>
</file>

<file path=customXml/itemProps2.xml><?xml version="1.0" encoding="utf-8"?>
<ds:datastoreItem xmlns:ds="http://schemas.openxmlformats.org/officeDocument/2006/customXml" ds:itemID="{5293D387-EC79-47E0-AB7E-205B36903B28}"/>
</file>

<file path=customXml/itemProps3.xml><?xml version="1.0" encoding="utf-8"?>
<ds:datastoreItem xmlns:ds="http://schemas.openxmlformats.org/officeDocument/2006/customXml" ds:itemID="{21F6C8D0-BD90-4BDE-8309-74E84D4F478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Sowmya S</cp:lastModifiedBy>
  <dcterms:created xsi:type="dcterms:W3CDTF">2026-07-30T12:48:57Z</dcterms:created>
  <dcterms:modified xsi:type="dcterms:W3CDTF">2026-07-30T13:21:39Z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Creator">
    <vt:lpwstr>Aspose Ltd.</vt:lpwstr>
  </property>
  <property fmtid="{D5CDD505-2E9C-101B-9397-08002B2CF9AE}" pid="5" name="LastSaved">
    <vt:filetime>2026-07-30T00:00:00Z</vt:filetime>
  </property>
  <property fmtid="{D5CDD505-2E9C-101B-9397-08002B2CF9AE}" pid="6" name="Producer">
    <vt:lpwstr>Aspose.PDF for Java 18.8</vt:lpwstr>
  </property>
  <property fmtid="{D5CDD505-2E9C-101B-9397-08002B2CF9AE}" pid="7" name="Tracking_Info">
    <vt:lpwstr>https://rdxfootmark.naukri.com/v2/track/openCv?trackingInfo=d49c532ab22433dad02b1ce4c4267cb6134f4b0419514c4847440321091b5b58120b1701144758540d435601514841481f0f2b561358191b195115495d0c00584e4209430247460c590858184508105042445b0c0f054e4108120211474a411b02154e49405d58380c4f03434b110d140612415b551b4d5849564360441403084b281e0103030015445158005548151b0d1152180c4f034342140a180a16435a5f0943076</vt:lpwstr>
  </property>
  <property fmtid="{D5CDD505-2E9C-101B-9397-08002B2CF9AE}" pid="8" name="ContentTypeId">
    <vt:lpwstr>0x0101002A915219D706AD49BD9FD697C2734D69</vt:lpwstr>
  </property>
</Properties>
</file>