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09106992" w14:paraId="41553056" wp14:textId="77777777">
      <w:pPr>
        <w:spacing w:after="20"/>
        <w:jc w:val="center"/>
        <w:rPr>
          <w:rFonts w:ascii="Arial" w:hAnsi="Arial"/>
          <w:b w:val="1"/>
          <w:bCs w:val="1"/>
          <w:color w:val="4F81BD" w:themeColor="accent1" w:themeTint="FF" w:themeShade="FF"/>
          <w:sz w:val="32"/>
          <w:szCs w:val="32"/>
        </w:rPr>
      </w:pPr>
      <w:r w:rsidRPr="09106992" w:rsidR="09106992">
        <w:rPr>
          <w:rFonts w:ascii="Arial" w:hAnsi="Arial"/>
          <w:b w:val="1"/>
          <w:bCs w:val="1"/>
          <w:color w:val="4F81BD" w:themeColor="accent1" w:themeTint="FF" w:themeShade="FF"/>
          <w:sz w:val="32"/>
          <w:szCs w:val="32"/>
        </w:rPr>
        <w:t>VIKASH JOTHIRAMALIANGAM</w:t>
      </w:r>
    </w:p>
    <w:p xmlns:wp14="http://schemas.microsoft.com/office/word/2010/wordml" w:rsidP="09106992" w14:paraId="1752CD47" wp14:textId="77777777">
      <w:pPr>
        <w:spacing w:after="100"/>
        <w:jc w:val="center"/>
        <w:rPr>
          <w:rFonts w:ascii="Arial" w:hAnsi="Arial"/>
          <w:b w:val="1"/>
          <w:bCs w:val="1"/>
          <w:color w:val="4F81BD" w:themeColor="accent1" w:themeTint="FF" w:themeShade="FF"/>
          <w:sz w:val="20"/>
          <w:szCs w:val="20"/>
        </w:rPr>
      </w:pPr>
      <w:r w:rsidRPr="09106992" w:rsidR="09106992">
        <w:rPr>
          <w:rFonts w:ascii="Arial" w:hAnsi="Arial"/>
          <w:b w:val="1"/>
          <w:bCs w:val="1"/>
          <w:color w:val="4F81BD" w:themeColor="accent1" w:themeTint="FF" w:themeShade="FF"/>
          <w:sz w:val="20"/>
          <w:szCs w:val="20"/>
        </w:rPr>
        <w:t>Senior Business Analyst | Business Architecture | Banking &amp; Payments Transformation</w:t>
      </w:r>
    </w:p>
    <w:p xmlns:wp14="http://schemas.microsoft.com/office/word/2010/wordml" w14:paraId="54DEB1EE" wp14:textId="3D86313B">
      <w:pPr>
        <w:spacing w:after="100"/>
        <w:jc w:val="center"/>
      </w:pPr>
      <w:r w:rsidRPr="09106992" w:rsidR="09106992"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  <w:t xml:space="preserve">Chennai, India | +91 </w:t>
      </w:r>
      <w:r w:rsidRPr="09106992" w:rsidR="7E480F73">
        <w:rPr>
          <w:rFonts w:ascii="Arial" w:hAnsi="Arial" w:eastAsia="ＭＳ 明朝" w:cs="" w:asciiTheme="minorAscii" w:hAnsiTheme="minorAscii" w:eastAsiaTheme="minorEastAsia" w:cstheme="minorBidi"/>
          <w:b w:val="0"/>
          <w:bCs w:val="0"/>
          <w:color w:val="4F81BD" w:themeColor="accent1" w:themeTint="FF" w:themeShade="FF"/>
          <w:sz w:val="18"/>
          <w:szCs w:val="18"/>
          <w:lang w:eastAsia="en-US" w:bidi="ar-SA"/>
        </w:rPr>
        <w:t>9789015613</w:t>
      </w:r>
      <w:r w:rsidRPr="09106992" w:rsidR="09106992">
        <w:rPr>
          <w:rFonts w:ascii="Arial" w:hAnsi="Arial" w:eastAsia="ＭＳ 明朝" w:cs="" w:asciiTheme="minorAscii" w:hAnsiTheme="minorAscii" w:eastAsiaTheme="minorEastAsia" w:cstheme="minorBidi"/>
          <w:b w:val="0"/>
          <w:bCs w:val="0"/>
          <w:color w:val="4F81BD" w:themeColor="accent1" w:themeTint="FF" w:themeShade="FF"/>
          <w:sz w:val="18"/>
          <w:szCs w:val="18"/>
          <w:lang w:eastAsia="en-US" w:bidi="ar-SA"/>
        </w:rPr>
        <w:t xml:space="preserve"> </w:t>
      </w:r>
      <w:r w:rsidRPr="09106992" w:rsidR="09106992">
        <w:rPr>
          <w:rFonts w:ascii="Arial" w:hAnsi="Arial" w:eastAsia="ＭＳ 明朝" w:cs="" w:asciiTheme="minorAscii" w:hAnsiTheme="minorAscii" w:eastAsiaTheme="minorEastAsia" w:cstheme="minorBidi"/>
          <w:b w:val="0"/>
          <w:bCs w:val="0"/>
          <w:color w:val="4F81BD" w:themeColor="accent1" w:themeTint="FF" w:themeShade="FF"/>
          <w:sz w:val="18"/>
          <w:szCs w:val="18"/>
          <w:lang w:eastAsia="en-US" w:bidi="ar-SA"/>
        </w:rPr>
        <w:t>|</w:t>
      </w:r>
      <w:r w:rsidRPr="09106992" w:rsidR="1980FDE0">
        <w:rPr>
          <w:rFonts w:ascii="Arial" w:hAnsi="Arial" w:eastAsia="ＭＳ 明朝" w:cs="" w:asciiTheme="minorAscii" w:hAnsiTheme="minorAscii" w:eastAsiaTheme="minorEastAsia" w:cstheme="minorBidi"/>
          <w:b w:val="0"/>
          <w:bCs w:val="0"/>
          <w:color w:val="4F81BD" w:themeColor="accent1" w:themeTint="FF" w:themeShade="FF"/>
          <w:sz w:val="18"/>
          <w:szCs w:val="18"/>
          <w:lang w:eastAsia="en-US" w:bidi="ar-SA"/>
        </w:rPr>
        <w:t xml:space="preserve">  vikashbackup407@gmail.com</w:t>
      </w:r>
    </w:p>
    <w:p xmlns:wp14="http://schemas.microsoft.com/office/word/2010/wordml" w:rsidP="09106992" w14:paraId="07DAC14A" wp14:textId="77777777">
      <w:pPr>
        <w:spacing w:before="120" w:after="60"/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</w:pPr>
      <w:r w:rsidRPr="09106992" w:rsidR="09106992"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  <w:t>PROFESSIONAL SUMMARY</w:t>
      </w:r>
    </w:p>
    <w:p xmlns:wp14="http://schemas.microsoft.com/office/word/2010/wordml" w14:paraId="5C10B890" wp14:textId="77777777">
      <w:pPr>
        <w:spacing w:after="40"/>
      </w:pPr>
      <w:r>
        <w:rPr>
          <w:rFonts w:ascii="Arial" w:hAnsi="Arial"/>
          <w:b w:val="0"/>
          <w:sz w:val="18"/>
        </w:rPr>
        <w:t>Senior Business Analyst with 12+ years of experience across Banking, Wealth &amp; Investment Management, Core Banking, Payments and Securities Services, delivering business transformation and technology-enabled change initiatives across global banking environments. Strong expertise in Business Architecture, Target Operating Model (TOM) design, AS-IS/TO-BE process modelling, Customer Journey Mapping, Business Capability Mapping and Process Architecture. Experienced in analysing current-state operating models, identifying process and capability gaps, and defining future-state processes, operating models and business requirements. Proven ability to translate complex business needs into functional requirements, process designs and solution specifications.</w:t>
      </w:r>
    </w:p>
    <w:p xmlns:wp14="http://schemas.microsoft.com/office/word/2010/wordml" w:rsidP="09106992" w14:paraId="38BE18C1" wp14:textId="77777777">
      <w:pPr>
        <w:spacing w:before="120" w:after="60"/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</w:pPr>
      <w:r w:rsidRPr="09106992" w:rsidR="09106992"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  <w:t>CORE COMPETENCIES</w:t>
      </w:r>
    </w:p>
    <w:p xmlns:wp14="http://schemas.microsoft.com/office/word/2010/wordml" w14:paraId="1EE69F21" wp14:textId="77777777">
      <w:pPr>
        <w:spacing w:after="40"/>
      </w:pPr>
      <w:r>
        <w:rPr>
          <w:rFonts w:ascii="Arial" w:hAnsi="Arial"/>
          <w:b/>
          <w:sz w:val="18"/>
        </w:rPr>
        <w:t>Business Architecture &amp; Transformation</w:t>
      </w:r>
    </w:p>
    <w:p xmlns:wp14="http://schemas.microsoft.com/office/word/2010/wordml" w14:paraId="639EA6AF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Target Operating Model (TOM) Design | Business Capability Mapping | Process Architecture</w:t>
      </w:r>
    </w:p>
    <w:p xmlns:wp14="http://schemas.microsoft.com/office/word/2010/wordml" w14:paraId="77BF0F5B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AS-IS / TO-BE Process Modelling | Customer Journey Mapping | Capability Gap Assessment</w:t>
      </w:r>
    </w:p>
    <w:p xmlns:wp14="http://schemas.microsoft.com/office/word/2010/wordml" w14:paraId="7850E59A" wp14:textId="77777777">
      <w:pPr>
        <w:pStyle w:val="ListBullet"/>
        <w:spacing w:after="20"/>
        <w:ind w:left="259"/>
        <w:rPr/>
      </w:pPr>
      <w:r w:rsidRPr="09106992" w:rsidR="09106992">
        <w:rPr>
          <w:rFonts w:ascii="Arial" w:hAnsi="Arial"/>
          <w:sz w:val="17"/>
          <w:szCs w:val="17"/>
        </w:rPr>
        <w:t>Operating Model Design | Business Process Re-engineering | Process Improvement &amp; Transformation</w:t>
      </w:r>
    </w:p>
    <w:p w:rsidR="09106992" w:rsidP="09106992" w:rsidRDefault="09106992" w14:paraId="55374480" w14:textId="052EE871">
      <w:pPr>
        <w:spacing w:after="40"/>
        <w:rPr>
          <w:rFonts w:ascii="Arial" w:hAnsi="Arial"/>
          <w:b w:val="1"/>
          <w:bCs w:val="1"/>
          <w:sz w:val="18"/>
          <w:szCs w:val="18"/>
        </w:rPr>
      </w:pPr>
    </w:p>
    <w:p xmlns:wp14="http://schemas.microsoft.com/office/word/2010/wordml" w14:paraId="07D6B359" wp14:textId="77777777">
      <w:pPr>
        <w:spacing w:after="40"/>
      </w:pPr>
      <w:r>
        <w:rPr>
          <w:rFonts w:ascii="Arial" w:hAnsi="Arial"/>
          <w:b/>
          <w:sz w:val="18"/>
        </w:rPr>
        <w:t>Banking &amp; Payments</w:t>
      </w:r>
    </w:p>
    <w:p xmlns:wp14="http://schemas.microsoft.com/office/word/2010/wordml" w14:paraId="41041280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Banking Transformation | Payment Processing &amp; Payment Lifecycle | Cross-Border Payments</w:t>
      </w:r>
    </w:p>
    <w:p xmlns:wp14="http://schemas.microsoft.com/office/word/2010/wordml" w14:paraId="7F0DF9B9" wp14:textId="77777777">
      <w:pPr>
        <w:pStyle w:val="ListBullet"/>
        <w:spacing w:after="20"/>
        <w:ind w:left="259"/>
        <w:rPr/>
      </w:pPr>
      <w:r w:rsidRPr="09106992" w:rsidR="09106992">
        <w:rPr>
          <w:rFonts w:ascii="Arial" w:hAnsi="Arial"/>
          <w:sz w:val="17"/>
          <w:szCs w:val="17"/>
        </w:rPr>
        <w:t>Payment Transactions | Core Banking | Wealth Management | Securities Services | Trade Lifecycle | Custody &amp; Clearing</w:t>
      </w:r>
    </w:p>
    <w:p w:rsidR="09106992" w:rsidP="09106992" w:rsidRDefault="09106992" w14:paraId="0862DF05" w14:textId="062B197A">
      <w:pPr>
        <w:spacing w:after="40"/>
        <w:rPr>
          <w:rFonts w:ascii="Arial" w:hAnsi="Arial"/>
          <w:b w:val="1"/>
          <w:bCs w:val="1"/>
          <w:sz w:val="18"/>
          <w:szCs w:val="18"/>
        </w:rPr>
      </w:pPr>
    </w:p>
    <w:p xmlns:wp14="http://schemas.microsoft.com/office/word/2010/wordml" w14:paraId="26BD95A3" wp14:textId="77777777">
      <w:pPr>
        <w:spacing w:after="40"/>
      </w:pPr>
      <w:r>
        <w:rPr>
          <w:rFonts w:ascii="Arial" w:hAnsi="Arial"/>
          <w:b/>
          <w:sz w:val="18"/>
        </w:rPr>
        <w:t>Business Analysis &amp; Delivery</w:t>
      </w:r>
    </w:p>
    <w:p xmlns:wp14="http://schemas.microsoft.com/office/word/2010/wordml" w14:paraId="06933C77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Requirements Elicitation | BRD / FSD / Functional Specifications | User Stories &amp; Acceptance Criteria</w:t>
      </w:r>
    </w:p>
    <w:p xmlns:wp14="http://schemas.microsoft.com/office/word/2010/wordml" w14:paraId="78ADC3F0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Gap &amp; Impact Analysis | Business Rules | Process &amp; Workflow Analysis | Requirement Traceability | UAT / SIT</w:t>
      </w:r>
    </w:p>
    <w:p xmlns:wp14="http://schemas.microsoft.com/office/word/2010/wordml" w14:paraId="296D13B9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Stakeholder Management | JAD / Requirement Workshops | Agile / Scrum | Waterfall</w:t>
      </w:r>
    </w:p>
    <w:p xmlns:wp14="http://schemas.microsoft.com/office/word/2010/wordml" w14:paraId="66606D65" wp14:textId="77777777">
      <w:pPr>
        <w:spacing w:after="40"/>
      </w:pPr>
      <w:r w:rsidRPr="09106992" w:rsidR="09106992">
        <w:rPr>
          <w:rFonts w:ascii="Arial" w:hAnsi="Arial"/>
          <w:b w:val="0"/>
          <w:bCs w:val="0"/>
          <w:sz w:val="18"/>
          <w:szCs w:val="18"/>
        </w:rPr>
        <w:t>Tools: JIRA | Confluence | Azure DevOps | MS Visio | Balsamiq | Draw.io | SQL | Power BI | Tableau | Excel</w:t>
      </w:r>
    </w:p>
    <w:p w:rsidR="09106992" w:rsidP="09106992" w:rsidRDefault="09106992" w14:paraId="603FEA5B" w14:textId="6EB386BB">
      <w:pPr>
        <w:spacing w:after="40"/>
        <w:rPr>
          <w:rFonts w:ascii="Arial" w:hAnsi="Arial"/>
          <w:b w:val="0"/>
          <w:bCs w:val="0"/>
          <w:sz w:val="18"/>
          <w:szCs w:val="18"/>
        </w:rPr>
      </w:pPr>
    </w:p>
    <w:p xmlns:wp14="http://schemas.microsoft.com/office/word/2010/wordml" w:rsidP="09106992" w14:paraId="168A1AEF" wp14:textId="77777777">
      <w:pPr>
        <w:pStyle w:val="Normal"/>
        <w:suppressLineNumbers w:val="0"/>
        <w:bidi w:val="0"/>
        <w:spacing w:before="120" w:beforeAutospacing="off" w:after="60" w:afterAutospacing="off" w:line="276" w:lineRule="auto"/>
        <w:ind w:left="0" w:right="0"/>
        <w:jc w:val="left"/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</w:pPr>
      <w:r w:rsidRPr="09106992" w:rsidR="09106992"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  <w:t>PROFESSIONAL EXPERIENCE</w:t>
      </w:r>
    </w:p>
    <w:p xmlns:wp14="http://schemas.microsoft.com/office/word/2010/wordml" w:rsidP="09106992" w14:paraId="4CE82488" wp14:textId="77777777">
      <w:pPr>
        <w:pStyle w:val="Normal"/>
        <w:suppressLineNumbers w:val="0"/>
        <w:bidi w:val="0"/>
        <w:spacing w:before="120" w:beforeAutospacing="off" w:after="60" w:afterAutospacing="off" w:line="276" w:lineRule="auto"/>
        <w:ind w:left="0" w:right="0"/>
        <w:jc w:val="left"/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</w:pPr>
      <w:r w:rsidRPr="09106992" w:rsidR="09106992"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  <w:t>TEMENOS INDIA PVT. LTD.</w:t>
      </w:r>
    </w:p>
    <w:p xmlns:wp14="http://schemas.microsoft.com/office/word/2010/wordml" w:rsidP="09106992" w14:paraId="23D0DCAF" wp14:textId="77777777">
      <w:pPr>
        <w:pStyle w:val="Normal"/>
        <w:suppressLineNumbers w:val="0"/>
        <w:bidi w:val="0"/>
        <w:spacing w:before="120" w:beforeAutospacing="off" w:after="60" w:afterAutospacing="off" w:line="276" w:lineRule="auto"/>
        <w:ind w:left="0" w:right="0"/>
        <w:jc w:val="left"/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</w:pPr>
      <w:r w:rsidRPr="09106992" w:rsidR="09106992"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  <w:t>Senior Business Analyst / Lead Business Analyst | Dec 2025 – Present | Chennai</w:t>
      </w:r>
    </w:p>
    <w:p xmlns:wp14="http://schemas.microsoft.com/office/word/2010/wordml" w:rsidP="09106992" w14:paraId="2DEFA413" wp14:textId="77777777">
      <w:pPr>
        <w:pStyle w:val="Normal"/>
        <w:suppressLineNumbers w:val="0"/>
        <w:bidi w:val="0"/>
        <w:spacing w:before="120" w:beforeAutospacing="off" w:after="60" w:afterAutospacing="off" w:line="276" w:lineRule="auto"/>
        <w:ind w:left="0" w:right="0"/>
        <w:jc w:val="left"/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</w:pPr>
      <w:r w:rsidRPr="09106992" w:rsidR="09106992"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  <w:t>Client/Engagement: Mirabaud Asset Management – Wealth Management &amp; Core Banking Transformation</w:t>
      </w:r>
    </w:p>
    <w:p w:rsidR="09106992" w:rsidP="09106992" w:rsidRDefault="09106992" w14:paraId="39D7123B" w14:textId="4CC1B08D">
      <w:pPr>
        <w:spacing w:after="40"/>
        <w:rPr>
          <w:rFonts w:ascii="Arial" w:hAnsi="Arial"/>
          <w:b w:val="1"/>
          <w:bCs w:val="1"/>
          <w:sz w:val="17"/>
          <w:szCs w:val="17"/>
        </w:rPr>
      </w:pPr>
    </w:p>
    <w:p xmlns:wp14="http://schemas.microsoft.com/office/word/2010/wordml" w14:paraId="394D876A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Worked as a Business Analyst across Temenos Wealth Suite Front Office, Portfolio Management and Temenos Transact Core Banking modules supporting banking transformation initiatives.</w:t>
      </w:r>
    </w:p>
    <w:p xmlns:wp14="http://schemas.microsoft.com/office/word/2010/wordml" w14:paraId="71E1B5B7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Partnered with business stakeholders, relationship managers, portfolio managers and technology teams to elicit, analyse and document business requirements across Wealth Management and Core Banking.</w:t>
      </w:r>
    </w:p>
    <w:p xmlns:wp14="http://schemas.microsoft.com/office/word/2010/wordml" w14:paraId="71FB2F60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Analysed existing business processes and performed AS-IS / TO-BE gap analysis to identify functional gaps, process dependencies and transformation opportunities.</w:t>
      </w:r>
    </w:p>
    <w:p xmlns:wp14="http://schemas.microsoft.com/office/word/2010/wordml" w14:paraId="515AC370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Contributed to Target Operating Model (TOM) definition by analysing current-state banking and payment processes and designing optimized future-state workflows.</w:t>
      </w:r>
    </w:p>
    <w:p xmlns:wp14="http://schemas.microsoft.com/office/word/2010/wordml" w14:paraId="6AEA5A2A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Developed end-to-end process flows and solution design documentation aligning Temenos Wealth Suite capabilities with Temenos Transact Core Banking.</w:t>
      </w:r>
    </w:p>
    <w:p xmlns:wp14="http://schemas.microsoft.com/office/word/2010/wordml" w14:paraId="18577E4A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Created Customer Journey Maps covering customer onboarding, account servicing, transaction processing and payment-related journeys, identifying pain points and improvement opportunities.</w:t>
      </w:r>
    </w:p>
    <w:p xmlns:wp14="http://schemas.microsoft.com/office/word/2010/wordml" w14:paraId="0B21225F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Developed Business Capability Maps linking business capabilities with processes, applications and functional requirements across Wealth Management, Core Banking and Payments.</w:t>
      </w:r>
    </w:p>
    <w:p xmlns:wp14="http://schemas.microsoft.com/office/word/2010/wordml" w14:paraId="19F13682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Authored Functional Specification Documents covering client onboarding, account lifecycle, portfolio management, transaction processing and payment workflows.</w:t>
      </w:r>
    </w:p>
    <w:p xmlns:wp14="http://schemas.microsoft.com/office/word/2010/wordml" w14:paraId="26234F86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Defined business rules, data mapping logic and workflow enhancements for Wealth Management and Banking services integration.</w:t>
      </w:r>
    </w:p>
    <w:p xmlns:wp14="http://schemas.microsoft.com/office/word/2010/wordml" w14:paraId="151B7BA3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Prepared HLEs by analysing requirements, solution impact, dependencies and implementation effort.</w:t>
      </w:r>
    </w:p>
    <w:p xmlns:wp14="http://schemas.microsoft.com/office/word/2010/wordml" w14:paraId="78C4D2C9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Worked with Development, QA and Product teams throughout solution design, implementation and validation.</w:t>
      </w:r>
    </w:p>
    <w:p xmlns:wp14="http://schemas.microsoft.com/office/word/2010/wordml" w14:paraId="0BF963F6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Prepared SIT/UAT scenarios covering portfolio operations, trade lifecycle, customer accounts, payments and core banking transactions.</w:t>
      </w:r>
    </w:p>
    <w:p xmlns:wp14="http://schemas.microsoft.com/office/word/2010/wordml" w14:paraId="0B4D474E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Managed requirement traceability and BA artefacts including BRDs, FSDs, HLEs, process flows and testing documentation.</w:t>
      </w:r>
    </w:p>
    <w:p xmlns:wp14="http://schemas.microsoft.com/office/word/2010/wordml" w14:paraId="67D69337" wp14:textId="77777777">
      <w:pPr>
        <w:spacing w:after="40"/>
      </w:pPr>
      <w:r w:rsidRPr="09106992" w:rsidR="09106992">
        <w:rPr>
          <w:rFonts w:ascii="Arial" w:hAnsi="Arial"/>
          <w:b w:val="1"/>
          <w:bCs w:val="1"/>
          <w:sz w:val="17"/>
          <w:szCs w:val="17"/>
        </w:rPr>
        <w:t>Key Business Architecture Contributions: TOM | AS-IS/TO-BE | Process Architecture | Customer Journey Mapping | Business Capability Mapping | Gap Analysis</w:t>
      </w:r>
    </w:p>
    <w:p w:rsidR="09106992" w:rsidP="09106992" w:rsidRDefault="09106992" w14:paraId="5AB045C2" w14:textId="265B0A99">
      <w:pPr>
        <w:spacing w:after="40"/>
        <w:rPr>
          <w:rFonts w:ascii="Arial" w:hAnsi="Arial"/>
          <w:b w:val="1"/>
          <w:bCs w:val="1"/>
          <w:sz w:val="20"/>
          <w:szCs w:val="20"/>
        </w:rPr>
      </w:pPr>
    </w:p>
    <w:p xmlns:wp14="http://schemas.microsoft.com/office/word/2010/wordml" w:rsidP="09106992" w14:paraId="6CB38F66" wp14:textId="533FCE4D">
      <w:pPr>
        <w:pStyle w:val="Normal"/>
        <w:suppressLineNumbers w:val="0"/>
        <w:bidi w:val="0"/>
        <w:spacing w:before="120" w:beforeAutospacing="off" w:after="60" w:afterAutospacing="off" w:line="276" w:lineRule="auto"/>
        <w:ind w:left="0" w:right="0"/>
        <w:jc w:val="left"/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</w:pPr>
      <w:r w:rsidRPr="09106992" w:rsidR="09106992"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  <w:t>WELLS FARGO INDIA GBS</w:t>
      </w:r>
      <w:r w:rsidRPr="09106992" w:rsidR="1F683A24"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  <w:t xml:space="preserve"> - </w:t>
      </w:r>
      <w:r w:rsidRPr="09106992" w:rsidR="09106992"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  <w:t>Business Aligned Finance Associate – Wealth &amp; Investment Management | Nov 2021 – Oct 2025 | Chennai</w:t>
      </w:r>
    </w:p>
    <w:p xmlns:wp14="http://schemas.microsoft.com/office/word/2010/wordml" w14:paraId="4F460606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Worked with the Wealth &amp; Investment Management – Banking, Lending &amp; Trust function supporting business analysis and transformation initiatives.</w:t>
      </w:r>
    </w:p>
    <w:p xmlns:wp14="http://schemas.microsoft.com/office/word/2010/wordml" w14:paraId="0F2093A8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Conducted JAD sessions, stakeholder interviews and requirement workshops to elicit and document business requirements.</w:t>
      </w:r>
    </w:p>
    <w:p xmlns:wp14="http://schemas.microsoft.com/office/word/2010/wordml" w14:paraId="7D42BA33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Performed detailed AS-IS process analysis and TO-BE process design across Wealth &amp; Investment Management banking workflows.</w:t>
      </w:r>
    </w:p>
    <w:p xmlns:wp14="http://schemas.microsoft.com/office/word/2010/wordml" w14:paraId="3F977603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Identified process gaps, dependencies and opportunities for business transformation across Wealth Management, Banking, Trade Lifecycle and Payments.</w:t>
      </w:r>
    </w:p>
    <w:p xmlns:wp14="http://schemas.microsoft.com/office/word/2010/wordml" w14:paraId="18470356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Developed Customer Journey Maps across onboarding, account management, investment portfolio management, transaction processing and payment-related activities.</w:t>
      </w:r>
    </w:p>
    <w:p xmlns:wp14="http://schemas.microsoft.com/office/word/2010/wordml" w14:paraId="4B401077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Performed Business Capability Mapping across Wealth Management, Banking, Investment Portfolio Management, Trade Lifecycle and Payments, mapping capabilities to processes, applications and stakeholders.</w:t>
      </w:r>
    </w:p>
    <w:p xmlns:wp14="http://schemas.microsoft.com/office/word/2010/wordml" w14:paraId="41593D19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Contributed to Target Operating Model definition by analysing existing operating processes, identifying capability/process gaps and supporting future-state operating models.</w:t>
      </w:r>
    </w:p>
    <w:p xmlns:wp14="http://schemas.microsoft.com/office/word/2010/wordml" w14:paraId="3D04959A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Worked with Product Owners and SMEs to create user stories, epics and acceptance criteria.</w:t>
      </w:r>
    </w:p>
    <w:p xmlns:wp14="http://schemas.microsoft.com/office/word/2010/wordml" w14:paraId="5718961C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Supported solution architects in developing technology solutions across Fixed Income, Equities, Commodities and Global Capital Markets.</w:t>
      </w:r>
    </w:p>
    <w:p xmlns:wp14="http://schemas.microsoft.com/office/word/2010/wordml" w14:paraId="41026EB4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Analysed dependencies and cross-functional impacts across Wealth Management, Banking, Trade Lifecycle and Payments.</w:t>
      </w:r>
    </w:p>
    <w:p xmlns:wp14="http://schemas.microsoft.com/office/word/2010/wordml" w14:paraId="114638CE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Created UML diagrams, process flows, wireframes and functional documentation using MS Visio and Balsamiq.</w:t>
      </w:r>
    </w:p>
    <w:p xmlns:wp14="http://schemas.microsoft.com/office/word/2010/wordml" w14:paraId="59AE886D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Supported Agile delivery through JIRA, backlog management, sprint planning, reviews and retrospectives.</w:t>
      </w:r>
    </w:p>
    <w:p xmlns:wp14="http://schemas.microsoft.com/office/word/2010/wordml" w14:paraId="2B034338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Coordinated UAT and validated application functionality against business requirements.</w:t>
      </w:r>
    </w:p>
    <w:p xmlns:wp14="http://schemas.microsoft.com/office/word/2010/wordml" w14:paraId="0847C72F" wp14:textId="77777777">
      <w:pPr>
        <w:spacing w:after="40"/>
      </w:pPr>
      <w:r>
        <w:rPr>
          <w:rFonts w:ascii="Arial" w:hAnsi="Arial"/>
          <w:b/>
          <w:sz w:val="17"/>
        </w:rPr>
        <w:t>Business Architecture Highlights: AS-IS/TO-BE | TOM | Customer Journey Mapping | Business Capability Mapping | Process Architecture | Gap Analysis</w:t>
      </w:r>
    </w:p>
    <w:p xmlns:wp14="http://schemas.microsoft.com/office/word/2010/wordml" w:rsidP="09106992" w14:paraId="78D21D0C" wp14:textId="2446AFDF">
      <w:pPr>
        <w:pStyle w:val="Normal"/>
        <w:suppressLineNumbers w:val="0"/>
        <w:bidi w:val="0"/>
        <w:spacing w:before="120" w:beforeAutospacing="off" w:after="60" w:afterAutospacing="off" w:line="276" w:lineRule="auto"/>
        <w:ind w:left="0" w:right="0"/>
        <w:jc w:val="left"/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</w:pPr>
      <w:r w:rsidRPr="09106992" w:rsidR="09106992"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  <w:t>BNP PARIBAS SECURITIES SERVICES</w:t>
      </w:r>
      <w:r w:rsidRPr="09106992" w:rsidR="036FD2C4"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  <w:t xml:space="preserve"> - </w:t>
      </w:r>
      <w:r w:rsidRPr="09106992" w:rsidR="09106992"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  <w:t>Business Support Assistant Manager – Data as a Service | 2020 – 2021 | Chennai</w:t>
      </w:r>
    </w:p>
    <w:p xmlns:wp14="http://schemas.microsoft.com/office/word/2010/wordml" w14:paraId="460897D6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Partnered with cross-functional teams during new fund launches, gathering requirements and validating business/data setup across internal systems and custody platforms.</w:t>
      </w:r>
    </w:p>
    <w:p xmlns:wp14="http://schemas.microsoft.com/office/word/2010/wordml" w14:paraId="381749CF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Led client onboarding and offboarding initiatives, coordinating requirements, technology teams and operational stakeholders.</w:t>
      </w:r>
    </w:p>
    <w:p xmlns:wp14="http://schemas.microsoft.com/office/word/2010/wordml" w14:paraId="0B46D78C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Managed institutional client stakeholder communication and supported trade lifecycle data across Equities and Bonds.</w:t>
      </w:r>
    </w:p>
    <w:p xmlns:wp14="http://schemas.microsoft.com/office/word/2010/wordml" w14:paraId="594B0D40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Performed data analysis, reconciliation and data-quality assessments to identify process and system issues.</w:t>
      </w:r>
    </w:p>
    <w:p xmlns:wp14="http://schemas.microsoft.com/office/word/2010/wordml" w14:paraId="67E0E46F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Developed UAT plans, test cases and completion reports to ensure requirements traceability.</w:t>
      </w:r>
    </w:p>
    <w:p xmlns:wp14="http://schemas.microsoft.com/office/word/2010/wordml" w14:paraId="7288E964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Performed AS-IS / TO-BE analysis across client onboarding, asset transition, custody, clearing and payment-related banking processes.</w:t>
      </w:r>
    </w:p>
    <w:p xmlns:wp14="http://schemas.microsoft.com/office/word/2010/wordml" w14:paraId="02AA1085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Developed Customer Journey Maps for institutional client onboarding, account setup, asset transition and servicing.</w:t>
      </w:r>
    </w:p>
    <w:p xmlns:wp14="http://schemas.microsoft.com/office/word/2010/wordml" w14:paraId="2DB9ABF1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Conducted Business Capability Mapping across client onboarding, custody, securities settlement, payments, clearing and client reporting.</w:t>
      </w:r>
    </w:p>
    <w:p xmlns:wp14="http://schemas.microsoft.com/office/word/2010/wordml" w14:paraId="46CCD524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Contributed to TOM initiatives by analysing operating models and aligning future-state processes, roles, controls and technology dependencies.</w:t>
      </w:r>
    </w:p>
    <w:p xmlns:wp14="http://schemas.microsoft.com/office/word/2010/wordml" w14:paraId="6F518DA3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Worked on payment and cash-related processes including cash balance transfers, FX setup, custody/clearing, reconciliation and transaction lifecycle processes.</w:t>
      </w:r>
    </w:p>
    <w:p xmlns:wp14="http://schemas.microsoft.com/office/word/2010/wordml" w:rsidP="09106992" w14:paraId="32C316E0" wp14:textId="7569A1DB">
      <w:pPr>
        <w:pStyle w:val="Normal"/>
        <w:suppressLineNumbers w:val="0"/>
        <w:bidi w:val="0"/>
        <w:spacing w:before="120" w:beforeAutospacing="off" w:after="60" w:afterAutospacing="off" w:line="276" w:lineRule="auto"/>
        <w:ind w:left="0" w:right="0"/>
        <w:jc w:val="left"/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</w:pPr>
      <w:r w:rsidRPr="09106992" w:rsidR="1B64F193">
        <w:rPr>
          <w:rFonts w:ascii="Arial" w:hAnsi="Arial" w:eastAsia="ＭＳ 明朝" w:cs="" w:asciiTheme="minorAscii" w:hAnsiTheme="minorAscii" w:eastAsiaTheme="minorEastAsia" w:cstheme="minorBidi"/>
          <w:b w:val="1"/>
          <w:bCs w:val="1"/>
          <w:color w:val="4F81BD" w:themeColor="accent1" w:themeTint="FF" w:themeShade="FF"/>
          <w:sz w:val="21"/>
          <w:szCs w:val="21"/>
          <w:lang w:eastAsia="en-US" w:bidi="ar-SA"/>
        </w:rPr>
        <w:t>B</w:t>
      </w:r>
      <w:r w:rsidRPr="09106992" w:rsidR="09106992">
        <w:rPr>
          <w:rFonts w:ascii="Arial" w:hAnsi="Arial" w:eastAsia="ＭＳ 明朝" w:cs="" w:asciiTheme="minorAscii" w:hAnsiTheme="minorAscii" w:eastAsiaTheme="minorEastAsia" w:cstheme="minorBidi"/>
          <w:b w:val="1"/>
          <w:bCs w:val="1"/>
          <w:color w:val="4F81BD" w:themeColor="accent1" w:themeTint="FF" w:themeShade="FF"/>
          <w:sz w:val="21"/>
          <w:szCs w:val="21"/>
          <w:lang w:eastAsia="en-US" w:bidi="ar-SA"/>
        </w:rPr>
        <w:t>NP PARIBAS</w:t>
      </w:r>
      <w:r w:rsidRPr="09106992" w:rsidR="6B04F5C3">
        <w:rPr>
          <w:rFonts w:ascii="Arial" w:hAnsi="Arial" w:eastAsia="ＭＳ 明朝" w:cs="" w:asciiTheme="minorAscii" w:hAnsiTheme="minorAscii" w:eastAsiaTheme="minorEastAsia" w:cstheme="minorBidi"/>
          <w:b w:val="1"/>
          <w:bCs w:val="1"/>
          <w:color w:val="4F81BD" w:themeColor="accent1" w:themeTint="FF" w:themeShade="FF"/>
          <w:sz w:val="21"/>
          <w:szCs w:val="21"/>
          <w:lang w:eastAsia="en-US" w:bidi="ar-SA"/>
        </w:rPr>
        <w:t xml:space="preserve"> - </w:t>
      </w:r>
      <w:r w:rsidRPr="09106992" w:rsidR="09106992"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  <w:t xml:space="preserve">Business / Client Support Analyst – </w:t>
      </w:r>
      <w:r w:rsidRPr="09106992" w:rsidR="09106992"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  <w:t>NeoLink</w:t>
      </w:r>
      <w:r w:rsidRPr="09106992" w:rsidR="09106992">
        <w:rPr>
          <w:rFonts w:ascii="Arial" w:hAnsi="Arial"/>
          <w:b w:val="0"/>
          <w:bCs w:val="0"/>
          <w:color w:val="4F81BD" w:themeColor="accent1" w:themeTint="FF" w:themeShade="FF"/>
          <w:sz w:val="18"/>
          <w:szCs w:val="18"/>
        </w:rPr>
        <w:t xml:space="preserve"> | 2015 – 2020 | Chennai</w:t>
      </w:r>
    </w:p>
    <w:p xmlns:wp14="http://schemas.microsoft.com/office/word/2010/wordml" w14:paraId="58BD6597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Provided L1/L2 application support for NeoLink across the Asia-Pacific region, acting as liaison between institutional clients, business and technology teams.</w:t>
      </w:r>
    </w:p>
    <w:p xmlns:wp14="http://schemas.microsoft.com/office/word/2010/wordml" w14:paraId="3E2174F2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Analysed user requirements and existing business processes to identify system enhancement and client experience opportunities.</w:t>
      </w:r>
    </w:p>
    <w:p xmlns:wp14="http://schemas.microsoft.com/office/word/2010/wordml" w14:paraId="7019B952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Gathered and documented BRDs for new and customised client reporting requirements.</w:t>
      </w:r>
    </w:p>
    <w:p xmlns:wp14="http://schemas.microsoft.com/office/word/2010/wordml" w14:paraId="535504EB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Engaged stakeholders to define, validate and prioritise business requirements.</w:t>
      </w:r>
    </w:p>
    <w:p xmlns:wp14="http://schemas.microsoft.com/office/word/2010/wordml" w14:paraId="2BA56D69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Coordinated integration testing and UAT for system enhancements.</w:t>
      </w:r>
    </w:p>
    <w:p xmlns:wp14="http://schemas.microsoft.com/office/word/2010/wordml" w14:paraId="25ABBA52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Supported client onboarding, implementation and post-implementation activities.</w:t>
      </w:r>
    </w:p>
    <w:p xmlns:wp14="http://schemas.microsoft.com/office/word/2010/wordml" w14:paraId="6F755B01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Developed process flow diagrams, functional specifications and test documentation.</w:t>
      </w:r>
    </w:p>
    <w:p xmlns:wp14="http://schemas.microsoft.com/office/word/2010/wordml" w14:paraId="2029BAA0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Supported process improvement initiatives focused on client onboarding, reporting and issue-resolution efficiency.</w:t>
      </w:r>
    </w:p>
    <w:p xmlns:wp14="http://schemas.microsoft.com/office/word/2010/wordml" w:rsidP="09106992" w14:paraId="15B8A63B" wp14:textId="77777777">
      <w:pPr>
        <w:pStyle w:val="Normal"/>
        <w:suppressLineNumbers w:val="0"/>
        <w:bidi w:val="0"/>
        <w:spacing w:before="120" w:beforeAutospacing="off" w:after="60" w:afterAutospacing="off" w:line="276" w:lineRule="auto"/>
        <w:ind w:left="0" w:right="0"/>
        <w:jc w:val="left"/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</w:pPr>
      <w:r w:rsidRPr="09106992" w:rsidR="09106992"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  <w:t>DOMAIN &amp; TRANSFORMATION EXPOSURE</w:t>
      </w:r>
    </w:p>
    <w:p xmlns:wp14="http://schemas.microsoft.com/office/word/2010/wordml" w14:paraId="70E257B4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Wealth Management | Investment Management | Banking | Payments | Securities Services | Custody &amp; Clearing</w:t>
      </w:r>
    </w:p>
    <w:p xmlns:wp14="http://schemas.microsoft.com/office/word/2010/wordml" w14:paraId="0B0FBD1A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Trade Lifecycle | Fixed Income | Equities | Commodities | Global Capital Markets</w:t>
      </w:r>
    </w:p>
    <w:p xmlns:wp14="http://schemas.microsoft.com/office/word/2010/wordml" w14:paraId="1879072D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Client Onboarding | Asset Transitions | Corporate Actions | FX Setup | Static Data Management</w:t>
      </w:r>
    </w:p>
    <w:p xmlns:wp14="http://schemas.microsoft.com/office/word/2010/wordml" w14:paraId="6EBA0925" wp14:textId="77777777">
      <w:pPr>
        <w:pStyle w:val="ListBullet"/>
        <w:spacing w:after="20"/>
        <w:ind w:left="259"/>
      </w:pPr>
      <w:r>
        <w:rPr>
          <w:rFonts w:ascii="Arial" w:hAnsi="Arial"/>
          <w:sz w:val="17"/>
        </w:rPr>
        <w:t>Process Optimisation | KPI Definition | Risk &amp; Control Matrix | SOP Development | Data Migration</w:t>
      </w:r>
    </w:p>
    <w:p xmlns:wp14="http://schemas.microsoft.com/office/word/2010/wordml" w:rsidP="09106992" w14:paraId="07DEE553" wp14:textId="77777777">
      <w:pPr>
        <w:pStyle w:val="Normal"/>
        <w:suppressLineNumbers w:val="0"/>
        <w:bidi w:val="0"/>
        <w:spacing w:before="120" w:beforeAutospacing="off" w:after="60" w:afterAutospacing="off" w:line="276" w:lineRule="auto"/>
        <w:ind w:left="0" w:right="0"/>
        <w:jc w:val="left"/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</w:pPr>
      <w:r w:rsidRPr="09106992" w:rsidR="09106992"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  <w:t>EDUCATION</w:t>
      </w:r>
    </w:p>
    <w:p xmlns:wp14="http://schemas.microsoft.com/office/word/2010/wordml" w14:paraId="229C8558" wp14:textId="77777777">
      <w:pPr>
        <w:spacing w:after="40"/>
      </w:pPr>
      <w:r>
        <w:rPr>
          <w:rFonts w:ascii="Arial" w:hAnsi="Arial"/>
          <w:b w:val="0"/>
          <w:sz w:val="18"/>
        </w:rPr>
        <w:t>MBA – Finance &amp; Marketing | Sai Ram Institute of Technology, Anna University | 2012–2014</w:t>
      </w:r>
    </w:p>
    <w:p xmlns:wp14="http://schemas.microsoft.com/office/word/2010/wordml" w14:paraId="2CD2EBDA" wp14:textId="77777777">
      <w:pPr>
        <w:spacing w:after="40"/>
      </w:pPr>
      <w:r>
        <w:rPr>
          <w:rFonts w:ascii="Arial" w:hAnsi="Arial"/>
          <w:b w:val="0"/>
          <w:sz w:val="18"/>
        </w:rPr>
        <w:t>B.Com – General | A.M. Jain College, Madras University | 2009–2012</w:t>
      </w:r>
    </w:p>
    <w:p xmlns:wp14="http://schemas.microsoft.com/office/word/2010/wordml" w:rsidP="09106992" w14:paraId="208DF431" wp14:textId="77777777">
      <w:pPr>
        <w:pStyle w:val="Normal"/>
        <w:suppressLineNumbers w:val="0"/>
        <w:bidi w:val="0"/>
        <w:spacing w:before="120" w:beforeAutospacing="off" w:after="60" w:afterAutospacing="off" w:line="276" w:lineRule="auto"/>
        <w:ind w:left="0" w:right="0"/>
        <w:jc w:val="left"/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</w:pPr>
      <w:r w:rsidRPr="09106992" w:rsidR="09106992">
        <w:rPr>
          <w:rFonts w:ascii="Arial" w:hAnsi="Arial"/>
          <w:b w:val="1"/>
          <w:bCs w:val="1"/>
          <w:color w:val="4F81BD" w:themeColor="accent1" w:themeTint="FF" w:themeShade="FF"/>
          <w:sz w:val="21"/>
          <w:szCs w:val="21"/>
        </w:rPr>
        <w:t>CAREER PATH</w:t>
      </w:r>
    </w:p>
    <w:p xmlns:wp14="http://schemas.microsoft.com/office/word/2010/wordml" w14:paraId="66238AB0" wp14:textId="77777777">
      <w:pPr>
        <w:spacing w:after="40"/>
      </w:pPr>
      <w:r>
        <w:rPr>
          <w:rFonts w:ascii="Arial" w:hAnsi="Arial"/>
          <w:b w:val="0"/>
          <w:sz w:val="18"/>
        </w:rPr>
        <w:t>BNP Paribas India – Business Data Service / Assistant Manager | Jan 2014 – Oct 2021</w:t>
      </w:r>
    </w:p>
    <w:p xmlns:wp14="http://schemas.microsoft.com/office/word/2010/wordml" w14:paraId="25F92164" wp14:textId="77777777">
      <w:pPr>
        <w:spacing w:after="40"/>
      </w:pPr>
      <w:r>
        <w:rPr>
          <w:rFonts w:ascii="Arial" w:hAnsi="Arial"/>
          <w:b w:val="0"/>
          <w:sz w:val="18"/>
        </w:rPr>
        <w:t>Wells Fargo India – Business Aligned Finance Associate | Nov 2021 – Oct 2025</w:t>
      </w:r>
    </w:p>
    <w:p xmlns:wp14="http://schemas.microsoft.com/office/word/2010/wordml" w14:paraId="70E32D8B" wp14:textId="77777777">
      <w:pPr>
        <w:spacing w:after="40"/>
      </w:pPr>
      <w:r>
        <w:rPr>
          <w:rFonts w:ascii="Arial" w:hAnsi="Arial"/>
          <w:b w:val="0"/>
          <w:sz w:val="18"/>
        </w:rPr>
        <w:t>Temenos India – Senior Business Analyst / Lead Business Analyst | Dec 2025 – Present</w:t>
      </w:r>
    </w:p>
    <w:sectPr w:rsidRPr="0006063C" w:rsidR="00FC693F" w:rsidSect="00034616">
      <w:footerReference w:type="default" r:id="rId9"/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621593E" wp14:textId="77777777">
    <w:pPr>
      <w:pStyle w:val="Footer"/>
      <w:jc w:val="center"/>
    </w:pPr>
    <w:r>
      <w:rPr>
        <w:rFonts w:ascii="Arial" w:hAnsi="Arial"/>
        <w:sz w:val="14"/>
      </w:rPr>
      <w:t>Vikash Jothiramaliangam | Senior Business Analyst | Banking &amp; Payments Transformation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FD2C4"/>
    <w:rsid w:val="09106992"/>
    <w:rsid w:val="0D8B5915"/>
    <w:rsid w:val="14A9595C"/>
    <w:rsid w:val="1980FDE0"/>
    <w:rsid w:val="19A0DF9E"/>
    <w:rsid w:val="1B64F193"/>
    <w:rsid w:val="1F683A24"/>
    <w:rsid w:val="2BBC114B"/>
    <w:rsid w:val="2BBC114B"/>
    <w:rsid w:val="2E515389"/>
    <w:rsid w:val="33024A43"/>
    <w:rsid w:val="33024A43"/>
    <w:rsid w:val="525EA6F6"/>
    <w:rsid w:val="6B04F5C3"/>
    <w:rsid w:val="75F34FFB"/>
    <w:rsid w:val="7E48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12F3EE6-2265-43CA-BEA5-EC235A3B02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EE6D0A-F4CC-4155-A0F6-3A863041A0E4}"/>
</file>

<file path=customXml/itemProps3.xml><?xml version="1.0" encoding="utf-8"?>
<ds:datastoreItem xmlns:ds="http://schemas.openxmlformats.org/officeDocument/2006/customXml" ds:itemID="{7EBA14E0-E5BF-48AE-83FA-3923A567AFF1}"/>
</file>

<file path=customXml/itemProps4.xml><?xml version="1.0" encoding="utf-8"?>
<ds:datastoreItem xmlns:ds="http://schemas.openxmlformats.org/officeDocument/2006/customXml" ds:itemID="{B7285B51-1F2F-4468-8EBB-48AA44077B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Sowmya S</cp:lastModifiedBy>
  <cp:revision>2</cp:revision>
  <dcterms:created xsi:type="dcterms:W3CDTF">2013-12-23T23:15:00Z</dcterms:created>
  <dcterms:modified xsi:type="dcterms:W3CDTF">2026-08-11T10:21:58Z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