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Statistics Assignment — Full Worked Solutions</w:t>
      </w:r>
    </w:p>
    <w:p>
      <w:pPr>
        <w:spacing w:after="320"/>
        <w:jc w:val="center"/>
      </w:pPr>
      <w:r>
        <w:rPr>
          <w:i/>
          <w:iCs/>
          <w:color w:val="555555"/>
        </w:rPr>
        <w:t xml:space="preserve">Karl Pearson's Correlation Coefficient  •  One-Way ANOVA</w:t>
      </w:r>
    </w:p>
    <w:p>
      <w:pPr>
        <w:pStyle w:val="Heading1"/>
        <w:spacing w:after="200" w:before="360"/>
      </w:pPr>
      <w:r>
        <w:t xml:space="preserve">Question 1: Correlation between Exercise Duration and Resting Heart Rate</w:t>
      </w:r>
    </w:p>
    <w:p>
      <w:pPr>
        <w:pStyle w:val="Heading2"/>
        <w:spacing w:after="140" w:before="280"/>
      </w:pPr>
      <w:r>
        <w:t xml:space="preserve">(a) Computational Table</w:t>
      </w:r>
    </w:p>
    <w:p>
      <w:pPr>
        <w:spacing w:after="140"/>
      </w:pPr>
      <w:r>
        <w:rPr>
          <w:b w:val="false"/>
          <w:bCs w:val="false"/>
          <w:i w:val="false"/>
          <w:iCs w:val="false"/>
        </w:rPr>
        <w:t xml:space="preserve">To evaluate the linear association between Exercise Duration (X) and Resting Heart Rate (Y), we compute XY, X², and Y² for each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100"/>
        <w:gridCol w:w="2100"/>
        <w:gridCol w:w="1560"/>
      </w:tblGrid>
      <w:tr>
        <w:tc>
          <w:tcPr>
            <w:tcW w:type="dxa" w:w="12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Participant</w:t>
            </w:r>
          </w:p>
        </w:tc>
        <w:tc>
          <w:tcPr>
            <w:tcW w:type="dxa" w:w="12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X (min)</w:t>
            </w:r>
          </w:p>
        </w:tc>
        <w:tc>
          <w:tcPr>
            <w:tcW w:type="dxa" w:w="12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Y (bpm)</w:t>
            </w:r>
          </w:p>
        </w:tc>
        <w:tc>
          <w:tcPr>
            <w:tcW w:type="dxa" w:w="21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XY</w:t>
            </w:r>
          </w:p>
        </w:tc>
        <w:tc>
          <w:tcPr>
            <w:tcW w:type="dxa" w:w="21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X²</w:t>
            </w:r>
          </w:p>
        </w:tc>
        <w:tc>
          <w:tcPr>
            <w:tcW w:type="dxa" w:w="156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Y²</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15</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85</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1275</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225</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7225</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20</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82</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1640</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400</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6724</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25</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81</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2025</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625</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6561</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30</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77</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2310</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900</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5929</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35</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76</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2660</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1225</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5776</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40</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74</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2960</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1600</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5476</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7</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45</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73</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3285</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2025</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5329</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8</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50</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71</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3550</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2500</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5041</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9</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55</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69</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3795</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3025</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4761</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10</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60</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67</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4020</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3600</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4489</w:t>
            </w:r>
          </w:p>
        </w:tc>
      </w:tr>
      <w:tr>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11</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65</w:t>
            </w:r>
          </w:p>
        </w:tc>
        <w:tc>
          <w:tcPr>
            <w:tcW w:type="dxa" w:w="12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65</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4225</w:t>
            </w:r>
          </w:p>
        </w:tc>
        <w:tc>
          <w:tcPr>
            <w:tcW w:type="dxa" w:w="21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4225</w:t>
            </w:r>
          </w:p>
        </w:tc>
        <w:tc>
          <w:tcPr>
            <w:tcW w:type="dxa" w:w="15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4225</w:t>
            </w:r>
          </w:p>
        </w:tc>
      </w:tr>
      <w:tr>
        <w:tc>
          <w:tcPr>
            <w:tcW w:type="dxa" w:w="120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Σ (Total)</w:t>
            </w:r>
          </w:p>
        </w:tc>
        <w:tc>
          <w:tcPr>
            <w:tcW w:type="dxa" w:w="120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440</w:t>
            </w:r>
          </w:p>
        </w:tc>
        <w:tc>
          <w:tcPr>
            <w:tcW w:type="dxa" w:w="120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820</w:t>
            </w:r>
          </w:p>
        </w:tc>
        <w:tc>
          <w:tcPr>
            <w:tcW w:type="dxa" w:w="210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31745</w:t>
            </w:r>
          </w:p>
        </w:tc>
        <w:tc>
          <w:tcPr>
            <w:tcW w:type="dxa" w:w="210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20350</w:t>
            </w:r>
          </w:p>
        </w:tc>
        <w:tc>
          <w:tcPr>
            <w:tcW w:type="dxa" w:w="156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61536</w:t>
            </w:r>
          </w:p>
        </w:tc>
      </w:tr>
    </w:tbl>
    <w:p>
      <w:pPr>
        <w:pStyle w:val="Heading2"/>
        <w:spacing w:after="140" w:before="280"/>
      </w:pPr>
      <w:r>
        <w:t xml:space="preserve">(b) Aggregate Statistics</w:t>
      </w:r>
    </w:p>
    <w:p>
      <w:pPr>
        <w:spacing w:after="140"/>
      </w:pPr>
      <w:r>
        <w:rPr>
          <w:b w:val="false"/>
          <w:bCs w:val="false"/>
          <w:i w:val="false"/>
          <w:iCs w:val="false"/>
        </w:rPr>
        <w:t xml:space="preserve">From the table above (n = 11):</w:t>
      </w:r>
    </w:p>
    <w:p>
      <w:pPr>
        <w:pStyle w:val="ListParagraph"/>
        <w:numPr>
          <w:ilvl w:val="0"/>
          <w:numId w:val="1"/>
        </w:numPr>
        <w:spacing w:after="80"/>
      </w:pPr>
      <w:r>
        <w:t xml:space="preserve">ΣX = 440,   ΣY = 820</w:t>
      </w:r>
    </w:p>
    <w:p>
      <w:pPr>
        <w:pStyle w:val="ListParagraph"/>
        <w:numPr>
          <w:ilvl w:val="0"/>
          <w:numId w:val="1"/>
        </w:numPr>
        <w:spacing w:after="80"/>
      </w:pPr>
      <w:r>
        <w:t xml:space="preserve">ΣXY = 31745</w:t>
      </w:r>
    </w:p>
    <w:p>
      <w:pPr>
        <w:pStyle w:val="ListParagraph"/>
        <w:numPr>
          <w:ilvl w:val="0"/>
          <w:numId w:val="1"/>
        </w:numPr>
        <w:spacing w:after="80"/>
      </w:pPr>
      <w:r>
        <w:t xml:space="preserve">ΣX² = 20350,   ΣY² = 61536</w:t>
      </w:r>
    </w:p>
    <w:p>
      <w:pPr>
        <w:pStyle w:val="ListParagraph"/>
        <w:numPr>
          <w:ilvl w:val="0"/>
          <w:numId w:val="1"/>
        </w:numPr>
        <w:spacing w:after="80"/>
      </w:pPr>
      <w:r>
        <w:t xml:space="preserve">X̄ = ΣX / n = 440 / 11 = 40</w:t>
      </w:r>
    </w:p>
    <w:p>
      <w:pPr>
        <w:pStyle w:val="ListParagraph"/>
        <w:numPr>
          <w:ilvl w:val="0"/>
          <w:numId w:val="1"/>
        </w:numPr>
        <w:spacing w:after="80"/>
      </w:pPr>
      <w:r>
        <w:t xml:space="preserve">Ȳ = ΣY / n = 820 / 11 = 74.545</w:t>
      </w:r>
    </w:p>
    <w:p>
      <w:pPr>
        <w:spacing w:after="140"/>
      </w:pPr>
      <w:r>
        <w:rPr>
          <w:b w:val="false"/>
          <w:bCs w:val="false"/>
          <w:i w:val="false"/>
          <w:iCs w:val="false"/>
        </w:rPr>
        <w:t xml:space="preserve">These five sums (n, ΣX, ΣY, ΣXY, ΣX², ΣY²) are exactly the quantities needed for Karl Pearson's coefficient of correlation.</w:t>
      </w:r>
    </w:p>
    <w:p>
      <w:pPr>
        <w:pStyle w:val="Heading2"/>
        <w:spacing w:after="140" w:before="280"/>
      </w:pPr>
      <w:r>
        <w:t xml:space="preserve">(c) Karl Pearson's Coefficient of Correlation</w:t>
      </w:r>
    </w:p>
    <w:p>
      <w:pPr>
        <w:spacing w:after="140"/>
      </w:pPr>
      <w:r>
        <w:rPr>
          <w:b/>
          <w:bCs/>
          <w:i w:val="false"/>
          <w:iCs w:val="false"/>
        </w:rPr>
        <w:t xml:space="preserve">Formula:</w:t>
      </w:r>
    </w:p>
    <w:p>
      <w:pPr>
        <w:spacing w:after="160" w:before="100"/>
        <w:ind w:left="360"/>
      </w:pPr>
      <w:r>
        <w:rPr>
          <w:rFonts w:ascii="Cambria Math" w:cs="Cambria Math" w:eastAsia="Cambria Math" w:hAnsi="Cambria Math"/>
          <w:sz w:val="24"/>
          <w:szCs w:val="24"/>
        </w:rPr>
        <w:t xml:space="preserve">r = [ nΣXY − (ΣX)(ΣY) ] / √{ [nΣX² − (ΣX)²][nΣY² − (ΣY)²] }</w:t>
      </w:r>
    </w:p>
    <w:p>
      <w:pPr>
        <w:spacing w:after="140"/>
      </w:pPr>
      <w:r>
        <w:rPr>
          <w:b/>
          <w:bCs/>
          <w:i w:val="false"/>
          <w:iCs w:val="false"/>
        </w:rPr>
        <w:t xml:space="preserve">Step 1 — Numerator:</w:t>
      </w:r>
    </w:p>
    <w:p>
      <w:pPr>
        <w:pStyle w:val="ListParagraph"/>
        <w:numPr>
          <w:ilvl w:val="0"/>
          <w:numId w:val="1"/>
        </w:numPr>
        <w:spacing w:after="80"/>
      </w:pPr>
      <w:r>
        <w:t xml:space="preserve">n·ΣXY = 11 × 31745 = 349195</w:t>
      </w:r>
    </w:p>
    <w:p>
      <w:pPr>
        <w:pStyle w:val="ListParagraph"/>
        <w:numPr>
          <w:ilvl w:val="0"/>
          <w:numId w:val="1"/>
        </w:numPr>
        <w:spacing w:after="80"/>
      </w:pPr>
      <w:r>
        <w:t xml:space="preserve">ΣX·ΣY = 440 × 820 = 360800</w:t>
      </w:r>
    </w:p>
    <w:p>
      <w:pPr>
        <w:pStyle w:val="ListParagraph"/>
        <w:numPr>
          <w:ilvl w:val="0"/>
          <w:numId w:val="1"/>
        </w:numPr>
        <w:spacing w:after="80"/>
      </w:pPr>
      <w:r>
        <w:t xml:space="preserve">Numerator = 349195 − 360800 = −11605</w:t>
      </w:r>
    </w:p>
    <w:p>
      <w:pPr>
        <w:spacing w:after="140"/>
      </w:pPr>
      <w:r>
        <w:rPr>
          <w:b/>
          <w:bCs/>
          <w:i w:val="false"/>
          <w:iCs w:val="false"/>
        </w:rPr>
        <w:t xml:space="preserve">Step 2 — Denominator (X part):</w:t>
      </w:r>
    </w:p>
    <w:p>
      <w:pPr>
        <w:pStyle w:val="ListParagraph"/>
        <w:numPr>
          <w:ilvl w:val="0"/>
          <w:numId w:val="1"/>
        </w:numPr>
        <w:spacing w:after="80"/>
      </w:pPr>
      <w:r>
        <w:t xml:space="preserve">n·ΣX² = 11 × 20350 = 223850</w:t>
      </w:r>
    </w:p>
    <w:p>
      <w:pPr>
        <w:pStyle w:val="ListParagraph"/>
        <w:numPr>
          <w:ilvl w:val="0"/>
          <w:numId w:val="1"/>
        </w:numPr>
        <w:spacing w:after="80"/>
      </w:pPr>
      <w:r>
        <w:t xml:space="preserve">(ΣX)² = 440² = 193600</w:t>
      </w:r>
    </w:p>
    <w:p>
      <w:pPr>
        <w:pStyle w:val="ListParagraph"/>
        <w:numPr>
          <w:ilvl w:val="0"/>
          <w:numId w:val="1"/>
        </w:numPr>
        <w:spacing w:after="80"/>
      </w:pPr>
      <w:r>
        <w:t xml:space="preserve">nΣX² − (ΣX)² = 223850 − 193600 = 30250</w:t>
      </w:r>
    </w:p>
    <w:p>
      <w:pPr>
        <w:spacing w:after="140"/>
      </w:pPr>
      <w:r>
        <w:rPr>
          <w:b/>
          <w:bCs/>
          <w:i w:val="false"/>
          <w:iCs w:val="false"/>
        </w:rPr>
        <w:t xml:space="preserve">Step 3 — Denominator (Y part):</w:t>
      </w:r>
    </w:p>
    <w:p>
      <w:pPr>
        <w:pStyle w:val="ListParagraph"/>
        <w:numPr>
          <w:ilvl w:val="0"/>
          <w:numId w:val="1"/>
        </w:numPr>
        <w:spacing w:after="80"/>
      </w:pPr>
      <w:r>
        <w:t xml:space="preserve">n·ΣY² = 11 × 61536 = 676896</w:t>
      </w:r>
    </w:p>
    <w:p>
      <w:pPr>
        <w:pStyle w:val="ListParagraph"/>
        <w:numPr>
          <w:ilvl w:val="0"/>
          <w:numId w:val="1"/>
        </w:numPr>
        <w:spacing w:after="80"/>
      </w:pPr>
      <w:r>
        <w:t xml:space="preserve">(ΣY)² = 820² = 672400</w:t>
      </w:r>
    </w:p>
    <w:p>
      <w:pPr>
        <w:pStyle w:val="ListParagraph"/>
        <w:numPr>
          <w:ilvl w:val="0"/>
          <w:numId w:val="1"/>
        </w:numPr>
        <w:spacing w:after="80"/>
      </w:pPr>
      <w:r>
        <w:t xml:space="preserve">nΣY² − (ΣY)² = 676896 − 672400 = 4496</w:t>
      </w:r>
    </w:p>
    <w:p>
      <w:pPr>
        <w:spacing w:after="140"/>
      </w:pPr>
      <w:r>
        <w:rPr>
          <w:b/>
          <w:bCs/>
          <w:i w:val="false"/>
          <w:iCs w:val="false"/>
        </w:rPr>
        <w:t xml:space="preserve">Step 4 — Combine:</w:t>
      </w:r>
    </w:p>
    <w:p>
      <w:pPr>
        <w:pStyle w:val="ListParagraph"/>
        <w:numPr>
          <w:ilvl w:val="0"/>
          <w:numId w:val="1"/>
        </w:numPr>
        <w:spacing w:after="80"/>
      </w:pPr>
      <w:r>
        <w:t xml:space="preserve">Denominator = √(30250 × 4496) = √136,004,000 ≈ 11662.07</w:t>
      </w:r>
    </w:p>
    <w:p>
      <w:pPr>
        <w:spacing w:after="140"/>
      </w:pPr>
      <w:r>
        <w:rPr>
          <w:b/>
          <w:bCs/>
          <w:i w:val="false"/>
          <w:iCs w:val="false"/>
        </w:rPr>
        <w:t xml:space="preserve">Step 5 — Final value:</w:t>
      </w:r>
    </w:p>
    <w:p>
      <w:pPr>
        <w:spacing w:after="160" w:before="100"/>
        <w:ind w:left="360"/>
      </w:pPr>
      <w:r>
        <w:rPr>
          <w:rFonts w:ascii="Cambria Math" w:cs="Cambria Math" w:eastAsia="Cambria Math" w:hAnsi="Cambria Math"/>
          <w:sz w:val="24"/>
          <w:szCs w:val="24"/>
        </w:rPr>
        <w:t xml:space="preserve">r = −11605 / 11662.07 ≈ −0.995</w:t>
      </w:r>
    </w:p>
    <w:p>
      <w:pPr>
        <w:spacing w:after="140"/>
      </w:pPr>
      <w:r>
        <w:rPr>
          <w:b/>
          <w:bCs/>
          <w:i w:val="false"/>
          <w:iCs w:val="false"/>
        </w:rPr>
        <w:t xml:space="preserve">r ≈ −0.995</w:t>
      </w:r>
    </w:p>
    <w:p>
      <w:pPr>
        <w:pStyle w:val="Heading2"/>
        <w:spacing w:after="140" w:before="280"/>
      </w:pPr>
      <w:r>
        <w:t xml:space="preserve">(d) Interpretation of the Coefficient</w:t>
      </w:r>
    </w:p>
    <w:p>
      <w:pPr>
        <w:pStyle w:val="ListParagraph"/>
        <w:numPr>
          <w:ilvl w:val="0"/>
          <w:numId w:val="1"/>
        </w:numPr>
        <w:spacing w:after="80"/>
      </w:pPr>
      <w:r>
        <w:t xml:space="preserve">Direction: r is negative, indicating an inverse relationship — as daily exercise duration increases, resting heart rate decreases.</w:t>
      </w:r>
    </w:p>
    <w:p>
      <w:pPr>
        <w:pStyle w:val="ListParagraph"/>
        <w:numPr>
          <w:ilvl w:val="0"/>
          <w:numId w:val="1"/>
        </w:numPr>
        <w:spacing w:after="80"/>
      </w:pPr>
      <w:r>
        <w:t xml:space="preserve">Magnitude: |r| = 0.995 is extremely close to 1, indicating a very strong linear relationship (|r| &gt; 0.8 is generally considered strong).</w:t>
      </w:r>
    </w:p>
    <w:p>
      <w:pPr>
        <w:pStyle w:val="ListParagraph"/>
        <w:numPr>
          <w:ilvl w:val="0"/>
          <w:numId w:val="1"/>
        </w:numPr>
        <w:spacing w:after="80"/>
      </w:pPr>
      <w:r>
        <w:t xml:space="preserve">Coefficient of determination: r² = (−0.995)² ≈ 0.990, meaning about 99% of the variation in resting heart rate among these participants can be statistically explained by variation in exercise duration.</w:t>
      </w:r>
    </w:p>
    <w:p>
      <w:pPr>
        <w:pStyle w:val="Heading2"/>
        <w:spacing w:after="140" w:before="280"/>
      </w:pPr>
      <w:r>
        <w:t xml:space="preserve">(e) Recommendation to the Wellness Program Coordinator</w:t>
      </w:r>
    </w:p>
    <w:p>
      <w:pPr>
        <w:spacing w:after="140"/>
      </w:pPr>
      <w:r>
        <w:rPr>
          <w:b w:val="false"/>
          <w:bCs w:val="false"/>
          <w:i w:val="false"/>
          <w:iCs w:val="false"/>
        </w:rPr>
        <w:t xml:space="preserve">The data provide strong statistical evidence (r ≈ −0.995, r² ≈ 0.99) that longer daily exercise duration is associated with lower resting heart rate, a recognized marker of better cardiovascular fitness. It is therefore reasonable to recommend that the coordinator encourage participants to increase their regular daily exercise duration, as this is strongly associated with improved cardiovascular indicators in this sample.</w:t>
      </w:r>
    </w:p>
    <w:p>
      <w:pPr>
        <w:spacing w:after="140"/>
      </w:pPr>
      <w:r>
        <w:rPr>
          <w:b w:val="false"/>
          <w:bCs w:val="false"/>
          <w:i/>
          <w:iCs/>
        </w:rPr>
        <w:t xml:space="preserve">Caveat: correlation does not by itself establish causation, and the sample size (n = 11) is small. A larger, longer-term study — alongside tracking of other cardiovascular markers — would strengthen the basis for program-wide policy changes.</w:t>
      </w:r>
    </w:p>
    <w:p>
      <w:r>
        <w:br w:type="page"/>
      </w:r>
    </w:p>
    <w:p>
      <w:pPr>
        <w:pStyle w:val="Heading1"/>
        <w:spacing w:after="200" w:before="360"/>
      </w:pPr>
      <w:r>
        <w:t xml:space="preserve">Question 2: One-Way ANOVA on Branch Waiting Times</w:t>
      </w:r>
    </w:p>
    <w:p>
      <w:pPr>
        <w:pStyle w:val="Heading2"/>
        <w:spacing w:after="140" w:before="280"/>
      </w:pPr>
      <w:r>
        <w:t xml:space="preserve">(a)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
            </w:r>
          </w:p>
        </w:tc>
        <w:tc>
          <w:tcPr>
            <w:tcW w:type="dxa" w:w="20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Branch A</w:t>
            </w:r>
          </w:p>
        </w:tc>
        <w:tc>
          <w:tcPr>
            <w:tcW w:type="dxa" w:w="20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Branch B</w:t>
            </w:r>
          </w:p>
        </w:tc>
        <w:tc>
          <w:tcPr>
            <w:tcW w:type="dxa" w:w="200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Branch C</w:t>
            </w:r>
          </w:p>
        </w:tc>
      </w:tr>
      <w:tr>
        <w:tc>
          <w:tcPr>
            <w:tcW w:type="dxa" w:w="3360"/>
            <w:tcBorders>
              <w:top w:val="single" w:color="999999" w:sz="4"/>
              <w:left w:val="single" w:color="999999" w:sz="4"/>
              <w:bottom w:val="single" w:color="999999" w:sz="4"/>
              <w:right w:val="single" w:color="999999" w:sz="4"/>
            </w:tcBorders>
            <w:vAlign w:val="center"/>
          </w:tcPr>
          <w:p>
            <w:pPr>
              <w:jc w:val="center"/>
            </w:pPr>
            <w:r>
              <w:rPr>
                <w:b/>
                <w:bCs/>
                <w:sz w:val="20"/>
                <w:szCs w:val="20"/>
              </w:rPr>
              <w:t xml:space="preserve">Data (minutes)</w:t>
            </w:r>
          </w:p>
        </w:tc>
        <w:tc>
          <w:tcPr>
            <w:tcW w:type="dxa" w:w="20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18, 20, 19, 21, 22, 20</w:t>
            </w:r>
          </w:p>
        </w:tc>
        <w:tc>
          <w:tcPr>
            <w:tcW w:type="dxa" w:w="20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15, 16, 17, 18, 16, 17</w:t>
            </w:r>
          </w:p>
        </w:tc>
        <w:tc>
          <w:tcPr>
            <w:tcW w:type="dxa" w:w="20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12, 13, 14, 15, 13, 14</w:t>
            </w:r>
          </w:p>
        </w:tc>
      </w:tr>
      <w:tr>
        <w:tc>
          <w:tcPr>
            <w:tcW w:type="dxa" w:w="3360"/>
            <w:tcBorders>
              <w:top w:val="single" w:color="999999" w:sz="4"/>
              <w:left w:val="single" w:color="999999" w:sz="4"/>
              <w:bottom w:val="single" w:color="999999" w:sz="4"/>
              <w:right w:val="single" w:color="999999" w:sz="4"/>
            </w:tcBorders>
            <w:vAlign w:val="center"/>
          </w:tcPr>
          <w:p>
            <w:pPr>
              <w:jc w:val="center"/>
            </w:pPr>
            <w:r>
              <w:rPr>
                <w:b/>
                <w:bCs/>
                <w:sz w:val="20"/>
                <w:szCs w:val="20"/>
              </w:rPr>
              <w:t xml:space="preserve">Sample size (nᵢ)</w:t>
            </w:r>
          </w:p>
        </w:tc>
        <w:tc>
          <w:tcPr>
            <w:tcW w:type="dxa" w:w="20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w:t>
            </w:r>
          </w:p>
        </w:tc>
        <w:tc>
          <w:tcPr>
            <w:tcW w:type="dxa" w:w="20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w:t>
            </w:r>
          </w:p>
        </w:tc>
        <w:tc>
          <w:tcPr>
            <w:tcW w:type="dxa" w:w="200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w:t>
            </w:r>
          </w:p>
        </w:tc>
      </w:tr>
      <w:tr>
        <w:tc>
          <w:tcPr>
            <w:tcW w:type="dxa" w:w="3360"/>
            <w:tcBorders>
              <w:top w:val="single" w:color="999999" w:sz="4"/>
              <w:left w:val="single" w:color="999999" w:sz="4"/>
              <w:bottom w:val="single" w:color="999999" w:sz="4"/>
              <w:right w:val="single" w:color="999999" w:sz="4"/>
            </w:tcBorders>
            <w:vAlign w:val="center"/>
          </w:tcPr>
          <w:p>
            <w:pPr>
              <w:jc w:val="center"/>
            </w:pPr>
            <w:r>
              <w:rPr>
                <w:b/>
                <w:bCs/>
                <w:sz w:val="20"/>
                <w:szCs w:val="20"/>
              </w:rPr>
              <w:t xml:space="preserve">Group total (Tᵢ)</w:t>
            </w:r>
          </w:p>
        </w:tc>
        <w:tc>
          <w:tcPr>
            <w:tcW w:type="dxa" w:w="200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120</w:t>
            </w:r>
          </w:p>
        </w:tc>
        <w:tc>
          <w:tcPr>
            <w:tcW w:type="dxa" w:w="200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99</w:t>
            </w:r>
          </w:p>
        </w:tc>
        <w:tc>
          <w:tcPr>
            <w:tcW w:type="dxa" w:w="200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81</w:t>
            </w:r>
          </w:p>
        </w:tc>
      </w:tr>
      <w:tr>
        <w:tc>
          <w:tcPr>
            <w:tcW w:type="dxa" w:w="3360"/>
            <w:tcBorders>
              <w:top w:val="single" w:color="999999" w:sz="4"/>
              <w:left w:val="single" w:color="999999" w:sz="4"/>
              <w:bottom w:val="single" w:color="999999" w:sz="4"/>
              <w:right w:val="single" w:color="999999" w:sz="4"/>
            </w:tcBorders>
            <w:vAlign w:val="center"/>
          </w:tcPr>
          <w:p>
            <w:pPr>
              <w:jc w:val="center"/>
            </w:pPr>
            <w:r>
              <w:rPr>
                <w:b/>
                <w:bCs/>
                <w:sz w:val="20"/>
                <w:szCs w:val="20"/>
              </w:rPr>
              <w:t xml:space="preserve">Group mean (X̄ᵢ)</w:t>
            </w:r>
          </w:p>
        </w:tc>
        <w:tc>
          <w:tcPr>
            <w:tcW w:type="dxa" w:w="200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20.00</w:t>
            </w:r>
          </w:p>
        </w:tc>
        <w:tc>
          <w:tcPr>
            <w:tcW w:type="dxa" w:w="200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16.50</w:t>
            </w:r>
          </w:p>
        </w:tc>
        <w:tc>
          <w:tcPr>
            <w:tcW w:type="dxa" w:w="200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13.50</w:t>
            </w:r>
          </w:p>
        </w:tc>
      </w:tr>
    </w:tbl>
    <w:p>
      <w:pPr>
        <w:spacing w:after="80" w:before="160"/>
      </w:pPr>
    </w:p>
    <w:p>
      <w:pPr>
        <w:pStyle w:val="ListParagraph"/>
        <w:numPr>
          <w:ilvl w:val="0"/>
          <w:numId w:val="1"/>
        </w:numPr>
        <w:spacing w:after="80"/>
      </w:pPr>
      <w:r>
        <w:t xml:space="preserve">Total sample size: N = n_A + n_B + n_C = 6 + 6 + 6 = 18</w:t>
      </w:r>
    </w:p>
    <w:p>
      <w:pPr>
        <w:pStyle w:val="ListParagraph"/>
        <w:numPr>
          <w:ilvl w:val="0"/>
          <w:numId w:val="1"/>
        </w:numPr>
        <w:spacing w:after="80"/>
      </w:pPr>
      <w:r>
        <w:t xml:space="preserve">Grand total: G = 120 + 99 + 81 = 300</w:t>
      </w:r>
    </w:p>
    <w:p>
      <w:pPr>
        <w:pStyle w:val="ListParagraph"/>
        <w:numPr>
          <w:ilvl w:val="0"/>
          <w:numId w:val="1"/>
        </w:numPr>
        <w:spacing w:after="80"/>
      </w:pPr>
      <w:r>
        <w:t xml:space="preserve">Grand mean: X̄ = G / N = 300 / 18 = 16.667</w:t>
      </w:r>
    </w:p>
    <w:p>
      <w:pPr>
        <w:pStyle w:val="Heading2"/>
        <w:spacing w:after="140" w:before="280"/>
      </w:pPr>
      <w:r>
        <w:t xml:space="preserve">(b) Correction Factor and Sums of Squares</w:t>
      </w:r>
    </w:p>
    <w:p>
      <w:pPr>
        <w:spacing w:after="140"/>
      </w:pPr>
      <w:r>
        <w:rPr>
          <w:b/>
          <w:bCs/>
          <w:i w:val="false"/>
          <w:iCs w:val="false"/>
        </w:rPr>
        <w:t xml:space="preserve">Correction Factor (CF):</w:t>
      </w:r>
    </w:p>
    <w:p>
      <w:pPr>
        <w:spacing w:after="160" w:before="100"/>
        <w:ind w:left="360"/>
      </w:pPr>
      <w:r>
        <w:rPr>
          <w:rFonts w:ascii="Cambria Math" w:cs="Cambria Math" w:eastAsia="Cambria Math" w:hAnsi="Cambria Math"/>
          <w:sz w:val="24"/>
          <w:szCs w:val="24"/>
        </w:rPr>
        <w:t xml:space="preserve">CF = G² / N = 300² / 18 = 90000 / 18 = 5000</w:t>
      </w:r>
    </w:p>
    <w:p>
      <w:pPr>
        <w:spacing w:after="140"/>
      </w:pPr>
      <w:r>
        <w:rPr>
          <w:b/>
          <w:bCs/>
          <w:i w:val="false"/>
          <w:iCs w:val="false"/>
        </w:rPr>
        <w:t xml:space="preserve">Total Sum of Squares (SST):</w:t>
      </w:r>
    </w:p>
    <w:p>
      <w:pPr>
        <w:spacing w:after="140"/>
      </w:pPr>
      <w:r>
        <w:rPr>
          <w:b w:val="false"/>
          <w:bCs w:val="false"/>
          <w:i w:val="false"/>
          <w:iCs w:val="false"/>
        </w:rPr>
        <w:t xml:space="preserve">First find ΣΣX² (sum of squares of every individual observation, across all branches):</w:t>
      </w:r>
    </w:p>
    <w:p>
      <w:pPr>
        <w:pStyle w:val="ListParagraph"/>
        <w:numPr>
          <w:ilvl w:val="0"/>
          <w:numId w:val="1"/>
        </w:numPr>
        <w:spacing w:after="80"/>
      </w:pPr>
      <w:r>
        <w:t xml:space="preserve">Branch A: 18²+20²+19²+21²+22²+20² = 324+400+361+441+484+400 = 2410</w:t>
      </w:r>
    </w:p>
    <w:p>
      <w:pPr>
        <w:pStyle w:val="ListParagraph"/>
        <w:numPr>
          <w:ilvl w:val="0"/>
          <w:numId w:val="1"/>
        </w:numPr>
        <w:spacing w:after="80"/>
      </w:pPr>
      <w:r>
        <w:t xml:space="preserve">Branch B: 15²+16²+17²+18²+16²+17² = 225+256+289+324+256+289 = 1639</w:t>
      </w:r>
    </w:p>
    <w:p>
      <w:pPr>
        <w:pStyle w:val="ListParagraph"/>
        <w:numPr>
          <w:ilvl w:val="0"/>
          <w:numId w:val="1"/>
        </w:numPr>
        <w:spacing w:after="80"/>
      </w:pPr>
      <w:r>
        <w:t xml:space="preserve">Branch C: 12²+13²+14²+15²+13²+14² = 144+169+196+225+169+196 = 1099</w:t>
      </w:r>
    </w:p>
    <w:p>
      <w:pPr>
        <w:pStyle w:val="ListParagraph"/>
        <w:numPr>
          <w:ilvl w:val="0"/>
          <w:numId w:val="1"/>
        </w:numPr>
        <w:spacing w:after="80"/>
      </w:pPr>
      <w:r>
        <w:t xml:space="preserve">ΣΣX² = 2410 + 1639 + 1099 = 5148</w:t>
      </w:r>
    </w:p>
    <w:p>
      <w:pPr>
        <w:spacing w:after="160" w:before="100"/>
        <w:ind w:left="360"/>
      </w:pPr>
      <w:r>
        <w:rPr>
          <w:rFonts w:ascii="Cambria Math" w:cs="Cambria Math" w:eastAsia="Cambria Math" w:hAnsi="Cambria Math"/>
          <w:sz w:val="24"/>
          <w:szCs w:val="24"/>
        </w:rPr>
        <w:t xml:space="preserve">SST = ΣΣX² − CF = 5148 − 5000 = 148</w:t>
      </w:r>
    </w:p>
    <w:p>
      <w:pPr>
        <w:spacing w:after="140"/>
      </w:pPr>
      <w:r>
        <w:rPr>
          <w:b/>
          <w:bCs/>
          <w:i w:val="false"/>
          <w:iCs w:val="false"/>
        </w:rPr>
        <w:t xml:space="preserve">Sum of Squares Between Groups (SSB):</w:t>
      </w:r>
    </w:p>
    <w:p>
      <w:pPr>
        <w:spacing w:after="160" w:before="100"/>
        <w:ind w:left="360"/>
      </w:pPr>
      <w:r>
        <w:rPr>
          <w:rFonts w:ascii="Cambria Math" w:cs="Cambria Math" w:eastAsia="Cambria Math" w:hAnsi="Cambria Math"/>
          <w:sz w:val="24"/>
          <w:szCs w:val="24"/>
        </w:rPr>
        <w:t xml:space="preserve">SSB = Σ(Tᵢ² / nᵢ) − CF</w:t>
      </w:r>
    </w:p>
    <w:p>
      <w:pPr>
        <w:spacing w:after="160" w:before="100"/>
        <w:ind w:left="360"/>
      </w:pPr>
      <w:r>
        <w:rPr>
          <w:rFonts w:ascii="Cambria Math" w:cs="Cambria Math" w:eastAsia="Cambria Math" w:hAnsi="Cambria Math"/>
          <w:sz w:val="24"/>
          <w:szCs w:val="24"/>
        </w:rPr>
        <w:t xml:space="preserve">= (120²/6) + (99²/6) + (81²/6) − 5000 = 2400 + 1633.5 + 1093.5 − 5000</w:t>
      </w:r>
    </w:p>
    <w:p>
      <w:pPr>
        <w:spacing w:after="160" w:before="100"/>
        <w:ind w:left="360"/>
      </w:pPr>
      <w:r>
        <w:rPr>
          <w:rFonts w:ascii="Cambria Math" w:cs="Cambria Math" w:eastAsia="Cambria Math" w:hAnsi="Cambria Math"/>
          <w:sz w:val="24"/>
          <w:szCs w:val="24"/>
        </w:rPr>
        <w:t xml:space="preserve">= 5127 − 5000 = 127</w:t>
      </w:r>
    </w:p>
    <w:p>
      <w:pPr>
        <w:spacing w:after="140"/>
      </w:pPr>
      <w:r>
        <w:rPr>
          <w:b/>
          <w:bCs/>
          <w:i w:val="false"/>
          <w:iCs w:val="false"/>
        </w:rPr>
        <w:t xml:space="preserve">Sum of Squares Within Groups (SSW):</w:t>
      </w:r>
    </w:p>
    <w:p>
      <w:pPr>
        <w:spacing w:after="160" w:before="100"/>
        <w:ind w:left="360"/>
      </w:pPr>
      <w:r>
        <w:rPr>
          <w:rFonts w:ascii="Cambria Math" w:cs="Cambria Math" w:eastAsia="Cambria Math" w:hAnsi="Cambria Math"/>
          <w:sz w:val="24"/>
          <w:szCs w:val="24"/>
        </w:rPr>
        <w:t xml:space="preserve">SSW = SST − SSB = 148 − 127 = 21</w:t>
      </w:r>
    </w:p>
    <w:p>
      <w:pPr>
        <w:spacing w:after="140"/>
      </w:pPr>
      <w:r>
        <w:rPr>
          <w:b w:val="false"/>
          <w:bCs w:val="false"/>
          <w:i/>
          <w:iCs/>
        </w:rPr>
        <w:t xml:space="preserve">Check: this matches directly summing squared deviations from each group mean — Branch A = 10, Branch B = 5.5, Branch C = 5.5 → total 21 ✓</w:t>
      </w:r>
    </w:p>
    <w:p>
      <w:pPr>
        <w:pStyle w:val="Heading2"/>
        <w:spacing w:after="140" w:before="280"/>
      </w:pPr>
      <w:r>
        <w:t xml:space="preserve">(c) One-Way ANOVA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Source of Variation</w:t>
            </w:r>
          </w:p>
        </w:tc>
        <w:tc>
          <w:tcPr>
            <w:tcW w:type="dxa" w:w="165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SS</w:t>
            </w:r>
          </w:p>
        </w:tc>
        <w:tc>
          <w:tcPr>
            <w:tcW w:type="dxa" w:w="165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df</w:t>
            </w:r>
          </w:p>
        </w:tc>
        <w:tc>
          <w:tcPr>
            <w:tcW w:type="dxa" w:w="165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MS</w:t>
            </w:r>
          </w:p>
        </w:tc>
        <w:tc>
          <w:tcPr>
            <w:tcW w:type="dxa" w:w="1650"/>
            <w:tcBorders>
              <w:top w:val="single" w:color="999999" w:sz="4"/>
              <w:left w:val="single" w:color="999999" w:sz="4"/>
              <w:bottom w:val="single" w:color="999999" w:sz="4"/>
              <w:right w:val="single" w:color="999999" w:sz="4"/>
            </w:tcBorders>
            <w:shd w:fill="2F5496" w:color="auto" w:val="clear"/>
            <w:vAlign w:val="center"/>
          </w:tcPr>
          <w:p>
            <w:pPr>
              <w:jc w:val="center"/>
            </w:pPr>
            <w:r>
              <w:rPr>
                <w:b/>
                <w:bCs/>
                <w:color w:val="FFFFFF"/>
                <w:sz w:val="20"/>
                <w:szCs w:val="20"/>
              </w:rPr>
              <w:t xml:space="preserve">F</w:t>
            </w:r>
          </w:p>
        </w:tc>
      </w:tr>
      <w:tr>
        <w:tc>
          <w:tcPr>
            <w:tcW w:type="dxa" w:w="27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Between Branches</w:t>
            </w:r>
          </w:p>
        </w:tc>
        <w:tc>
          <w:tcPr>
            <w:tcW w:type="dxa" w:w="165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127</w:t>
            </w:r>
          </w:p>
        </w:tc>
        <w:tc>
          <w:tcPr>
            <w:tcW w:type="dxa" w:w="165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w:t>
            </w:r>
          </w:p>
        </w:tc>
        <w:tc>
          <w:tcPr>
            <w:tcW w:type="dxa" w:w="165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63.5</w:t>
            </w:r>
          </w:p>
        </w:tc>
        <w:tc>
          <w:tcPr>
            <w:tcW w:type="dxa" w:w="1650"/>
            <w:tcBorders>
              <w:top w:val="single" w:color="999999" w:sz="4"/>
              <w:left w:val="single" w:color="999999" w:sz="4"/>
              <w:bottom w:val="single" w:color="999999" w:sz="4"/>
              <w:right w:val="single" w:color="999999" w:sz="4"/>
            </w:tcBorders>
            <w:vAlign w:val="center"/>
          </w:tcPr>
          <w:p>
            <w:pPr>
              <w:jc w:val="center"/>
            </w:pPr>
            <w:r>
              <w:rPr>
                <w:b/>
                <w:bCs/>
                <w:sz w:val="20"/>
                <w:szCs w:val="20"/>
              </w:rPr>
              <w:t xml:space="preserve">45.36</w:t>
            </w:r>
          </w:p>
        </w:tc>
      </w:tr>
      <w:tr>
        <w:tc>
          <w:tcPr>
            <w:tcW w:type="dxa" w:w="276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Within Branches (Error)</w:t>
            </w:r>
          </w:p>
        </w:tc>
        <w:tc>
          <w:tcPr>
            <w:tcW w:type="dxa" w:w="165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21</w:t>
            </w:r>
          </w:p>
        </w:tc>
        <w:tc>
          <w:tcPr>
            <w:tcW w:type="dxa" w:w="165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15</w:t>
            </w:r>
          </w:p>
        </w:tc>
        <w:tc>
          <w:tcPr>
            <w:tcW w:type="dxa" w:w="165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1.4</w:t>
            </w:r>
          </w:p>
        </w:tc>
        <w:tc>
          <w:tcPr>
            <w:tcW w:type="dxa" w:w="1650"/>
            <w:tcBorders>
              <w:top w:val="single" w:color="999999" w:sz="4"/>
              <w:left w:val="single" w:color="999999" w:sz="4"/>
              <w:bottom w:val="single" w:color="999999" w:sz="4"/>
              <w:right w:val="single" w:color="999999" w:sz="4"/>
            </w:tcBorders>
            <w:vAlign w:val="center"/>
          </w:tcPr>
          <w:p>
            <w:pPr>
              <w:jc w:val="center"/>
            </w:pPr>
            <w:r>
              <w:rPr>
                <w:b w:val="false"/>
                <w:bCs w:val="false"/>
                <w:sz w:val="20"/>
                <w:szCs w:val="20"/>
              </w:rPr>
              <w:t xml:space="preserve"/>
            </w:r>
          </w:p>
        </w:tc>
      </w:tr>
      <w:tr>
        <w:tc>
          <w:tcPr>
            <w:tcW w:type="dxa" w:w="276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Total</w:t>
            </w:r>
          </w:p>
        </w:tc>
        <w:tc>
          <w:tcPr>
            <w:tcW w:type="dxa" w:w="165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148</w:t>
            </w:r>
          </w:p>
        </w:tc>
        <w:tc>
          <w:tcPr>
            <w:tcW w:type="dxa" w:w="1650"/>
            <w:tcBorders>
              <w:top w:val="single" w:color="999999" w:sz="4"/>
              <w:left w:val="single" w:color="999999" w:sz="4"/>
              <w:bottom w:val="single" w:color="999999" w:sz="4"/>
              <w:right w:val="single" w:color="999999" w:sz="4"/>
            </w:tcBorders>
            <w:shd w:fill="DCE6F1" w:color="auto" w:val="clear"/>
            <w:vAlign w:val="center"/>
          </w:tcPr>
          <w:p>
            <w:pPr>
              <w:jc w:val="center"/>
            </w:pPr>
            <w:r>
              <w:rPr>
                <w:b/>
                <w:bCs/>
                <w:sz w:val="20"/>
                <w:szCs w:val="20"/>
              </w:rPr>
              <w:t xml:space="preserve">17</w:t>
            </w:r>
          </w:p>
        </w:tc>
        <w:tc>
          <w:tcPr>
            <w:tcW w:type="dxa" w:w="165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
            </w:r>
          </w:p>
        </w:tc>
        <w:tc>
          <w:tcPr>
            <w:tcW w:type="dxa" w:w="1650"/>
            <w:tcBorders>
              <w:top w:val="single" w:color="999999" w:sz="4"/>
              <w:left w:val="single" w:color="999999" w:sz="4"/>
              <w:bottom w:val="single" w:color="999999" w:sz="4"/>
              <w:right w:val="single" w:color="999999" w:sz="4"/>
            </w:tcBorders>
            <w:shd w:fill="DCE6F1" w:color="auto" w:val="clear"/>
            <w:vAlign w:val="center"/>
          </w:tcPr>
          <w:p>
            <w:pPr>
              <w:jc w:val="center"/>
            </w:pPr>
            <w:r>
              <w:rPr>
                <w:b w:val="false"/>
                <w:bCs w:val="false"/>
                <w:sz w:val="20"/>
                <w:szCs w:val="20"/>
              </w:rPr>
              <w:t xml:space="preserve"/>
            </w:r>
          </w:p>
        </w:tc>
      </w:tr>
    </w:tbl>
    <w:p>
      <w:pPr>
        <w:pStyle w:val="Heading2"/>
        <w:spacing w:after="140" w:before="280"/>
      </w:pPr>
      <w:r>
        <w:t xml:space="preserve">(d) Hypothesis Test (Critical Value Approach)</w:t>
      </w:r>
    </w:p>
    <w:p>
      <w:pPr>
        <w:spacing w:after="140"/>
      </w:pPr>
      <w:r>
        <w:rPr>
          <w:b/>
          <w:bCs/>
          <w:i w:val="false"/>
          <w:iCs w:val="false"/>
        </w:rPr>
        <w:t xml:space="preserve">Hypotheses:</w:t>
      </w:r>
    </w:p>
    <w:p>
      <w:pPr>
        <w:pStyle w:val="ListParagraph"/>
        <w:numPr>
          <w:ilvl w:val="0"/>
          <w:numId w:val="1"/>
        </w:numPr>
        <w:spacing w:after="80"/>
      </w:pPr>
      <w:r>
        <w:t xml:space="preserve">H₀: μ_A = μ_B = μ_C  (mean waiting time is the same at all three branches)</w:t>
      </w:r>
    </w:p>
    <w:p>
      <w:pPr>
        <w:pStyle w:val="ListParagraph"/>
        <w:numPr>
          <w:ilvl w:val="0"/>
          <w:numId w:val="1"/>
        </w:numPr>
        <w:spacing w:after="80"/>
      </w:pPr>
      <w:r>
        <w:t xml:space="preserve">H₁: At least one branch mean differs from the others</w:t>
      </w:r>
    </w:p>
    <w:p>
      <w:pPr>
        <w:spacing w:after="140"/>
      </w:pPr>
      <w:r>
        <w:rPr>
          <w:b w:val="false"/>
          <w:bCs w:val="false"/>
          <w:i w:val="false"/>
          <w:iCs w:val="false"/>
        </w:rPr>
        <w:t xml:space="preserve">Level of significance: α = 0.05</w:t>
      </w:r>
    </w:p>
    <w:p>
      <w:pPr>
        <w:spacing w:after="140"/>
      </w:pPr>
      <w:r>
        <w:rPr>
          <w:b w:val="false"/>
          <w:bCs w:val="false"/>
          <w:i w:val="false"/>
          <w:iCs w:val="false"/>
        </w:rPr>
        <w:t xml:space="preserve">Degrees of freedom: df₁ = 2 (numerator), df₂ = 15 (denominator)</w:t>
      </w:r>
    </w:p>
    <w:p>
      <w:pPr>
        <w:spacing w:after="140"/>
      </w:pPr>
      <w:r>
        <w:rPr>
          <w:b w:val="false"/>
          <w:bCs w:val="false"/>
          <w:i w:val="false"/>
          <w:iCs w:val="false"/>
        </w:rPr>
        <w:t xml:space="preserve">Critical value: F₀.₀₅(2, 15) = 3.68  (from F-distribution table)</w:t>
      </w:r>
    </w:p>
    <w:p>
      <w:pPr>
        <w:spacing w:after="140"/>
      </w:pPr>
      <w:r>
        <w:rPr>
          <w:b/>
          <w:bCs/>
          <w:i w:val="false"/>
          <w:iCs w:val="false"/>
        </w:rPr>
        <w:t xml:space="preserve">Decision rule: Reject H₀ if F_calculated &gt; F_critical</w:t>
      </w:r>
    </w:p>
    <w:p>
      <w:pPr>
        <w:spacing w:after="140"/>
      </w:pPr>
      <w:r>
        <w:rPr>
          <w:b w:val="false"/>
          <w:bCs w:val="false"/>
          <w:i w:val="false"/>
          <w:iCs w:val="false"/>
        </w:rPr>
        <w:t xml:space="preserve">Comparison: F_calculated = 45.36 &gt; F_critical = 3.68</w:t>
      </w:r>
    </w:p>
    <w:p>
      <w:pPr>
        <w:spacing w:after="140"/>
      </w:pPr>
      <w:r>
        <w:rPr>
          <w:b/>
          <w:bCs/>
          <w:i w:val="false"/>
          <w:iCs w:val="false"/>
        </w:rPr>
        <w:t xml:space="preserve">Decision: Reject H₀</w:t>
      </w:r>
    </w:p>
    <w:p>
      <w:pPr>
        <w:spacing w:after="140"/>
      </w:pPr>
      <w:r>
        <w:rPr>
          <w:b w:val="false"/>
          <w:bCs w:val="false"/>
          <w:i w:val="false"/>
          <w:iCs w:val="false"/>
        </w:rPr>
        <w:t xml:space="preserve">Conclusion: At the 5% level of significance, there is sufficient statistical evidence to conclude that the average customer waiting time differs significantly among the three branches.</w:t>
      </w:r>
    </w:p>
    <w:p>
      <w:pPr>
        <w:pStyle w:val="Heading2"/>
        <w:spacing w:after="140" w:before="280"/>
      </w:pPr>
      <w:r>
        <w:t xml:space="preserve">(e) Recommendation to Senior Management</w:t>
      </w:r>
    </w:p>
    <w:p>
      <w:pPr>
        <w:spacing w:after="140"/>
      </w:pPr>
      <w:r>
        <w:rPr>
          <w:b w:val="false"/>
          <w:bCs w:val="false"/>
          <w:i w:val="false"/>
          <w:iCs w:val="false"/>
        </w:rPr>
        <w:t xml:space="preserve">The ANOVA results show a highly significant difference in mean waiting times across branches:</w:t>
      </w:r>
    </w:p>
    <w:p>
      <w:pPr>
        <w:pStyle w:val="ListParagraph"/>
        <w:numPr>
          <w:ilvl w:val="0"/>
          <w:numId w:val="1"/>
        </w:numPr>
        <w:spacing w:after="80"/>
      </w:pPr>
      <w:r>
        <w:t xml:space="preserve">Branch C: 13.5 minutes (lowest)</w:t>
      </w:r>
    </w:p>
    <w:p>
      <w:pPr>
        <w:pStyle w:val="ListParagraph"/>
        <w:numPr>
          <w:ilvl w:val="0"/>
          <w:numId w:val="1"/>
        </w:numPr>
        <w:spacing w:after="80"/>
      </w:pPr>
      <w:r>
        <w:t xml:space="preserve">Branch B: 16.5 minutes</w:t>
      </w:r>
    </w:p>
    <w:p>
      <w:pPr>
        <w:pStyle w:val="ListParagraph"/>
        <w:numPr>
          <w:ilvl w:val="0"/>
          <w:numId w:val="1"/>
        </w:numPr>
        <w:spacing w:after="80"/>
      </w:pPr>
      <w:r>
        <w:t xml:space="preserve">Branch A: 20.0 minutes (highest)</w:t>
      </w:r>
    </w:p>
    <w:p>
      <w:pPr>
        <w:spacing w:after="140"/>
      </w:pPr>
      <w:r>
        <w:rPr>
          <w:b w:val="false"/>
          <w:bCs w:val="false"/>
          <w:i w:val="false"/>
          <w:iCs w:val="false"/>
        </w:rPr>
        <w:t xml:space="preserve">Branch C recorded the lowest average waiting time, suggesting that whichever operational strategy is in place there (e.g., additional counters, token-based queueing, or dedicated staff for routine transactions) is currently the most effective at reducing customer wait times. Management should investigate Branch C's specific practices and consider rolling them out to Branch A and Branch B, where waiting times are markedly higher.</w:t>
      </w:r>
    </w:p>
    <w:p>
      <w:pPr>
        <w:spacing w:after="140"/>
      </w:pPr>
      <w:r>
        <w:rPr>
          <w:b w:val="false"/>
          <w:bCs w:val="false"/>
          <w:i/>
          <w:iCs/>
        </w:rPr>
        <w:t xml:space="preserve">Important caveat: the ANOVA F-test only establishes that at least one branch mean differs from the others — it does not by itself identify which specific pairs of branches differ significantly. A post hoc test such as Tukey's HSD should be conducted before finalizing operational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2026-08-05T05:42:16.826Z</dcterms:created>
  <dcterms:modified xsi:type="dcterms:W3CDTF">2026-08-05T05:42:16.840Z</dcterms:modified>
</cp:coreProperties>
</file>

<file path=docProps/custom.xml><?xml version="1.0" encoding="utf-8"?>
<Properties xmlns="http://schemas.openxmlformats.org/officeDocument/2006/custom-properties" xmlns:vt="http://schemas.openxmlformats.org/officeDocument/2006/docPropsVTypes"/>
</file>