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0A79" w14:textId="040A8953" w:rsidR="00C32B33" w:rsidRPr="001E400C" w:rsidRDefault="00844785" w:rsidP="00A92BBF">
      <w:pPr>
        <w:spacing w:after="12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Annual Revenue</w:t>
      </w:r>
      <w:r w:rsidR="002C0985">
        <w:rPr>
          <w:b/>
          <w:bCs/>
          <w:color w:val="000000" w:themeColor="text1"/>
          <w:sz w:val="28"/>
          <w:szCs w:val="28"/>
        </w:rPr>
        <w:t>s</w:t>
      </w:r>
    </w:p>
    <w:p w14:paraId="4F376FB7" w14:textId="77777777" w:rsidR="00F4008C" w:rsidRPr="00844785" w:rsidRDefault="004A7A43" w:rsidP="00A92BBF">
      <w:pPr>
        <w:spacing w:after="120"/>
        <w:jc w:val="center"/>
        <w:rPr>
          <w:bCs/>
          <w:color w:val="000000" w:themeColor="text1"/>
          <w:sz w:val="28"/>
          <w:szCs w:val="28"/>
        </w:rPr>
      </w:pPr>
      <w:r w:rsidRPr="00844785">
        <w:rPr>
          <w:bCs/>
          <w:color w:val="000000" w:themeColor="text1"/>
          <w:sz w:val="28"/>
          <w:szCs w:val="28"/>
        </w:rPr>
        <w:t>DATASET INFORMATION WORKSHEET</w:t>
      </w:r>
    </w:p>
    <w:p w14:paraId="1CC59C52" w14:textId="77777777" w:rsidR="0077177B" w:rsidRPr="00C61191" w:rsidRDefault="0077177B" w:rsidP="00C32B33">
      <w:pPr>
        <w:spacing w:after="0"/>
        <w:jc w:val="center"/>
        <w:rPr>
          <w:rFonts w:ascii="Calibri" w:hAnsi="Calibri" w:cs="Arial"/>
          <w:b/>
          <w:color w:val="002060"/>
        </w:rPr>
      </w:pPr>
    </w:p>
    <w:p w14:paraId="640AB6C0" w14:textId="77777777" w:rsidR="00F4008C" w:rsidRPr="00AB4C8A" w:rsidRDefault="004A7A43" w:rsidP="004349D1">
      <w:pPr>
        <w:spacing w:after="0"/>
        <w:rPr>
          <w:rFonts w:ascii="Calibri" w:hAnsi="Calibri" w:cs="Arial"/>
          <w:b/>
          <w:color w:val="000000" w:themeColor="text1"/>
          <w:sz w:val="28"/>
          <w:szCs w:val="28"/>
        </w:rPr>
      </w:pPr>
      <w:r w:rsidRPr="00AB4C8A">
        <w:rPr>
          <w:rFonts w:ascii="Calibri" w:hAnsi="Calibri" w:cs="Arial"/>
          <w:b/>
          <w:color w:val="000000" w:themeColor="text1"/>
          <w:sz w:val="28"/>
          <w:szCs w:val="28"/>
        </w:rPr>
        <w:t>DESCRIPTION</w:t>
      </w:r>
    </w:p>
    <w:p w14:paraId="1B222B2B" w14:textId="11607A03" w:rsidR="00AF346D" w:rsidRDefault="00062125" w:rsidP="00AF346D">
      <w:pPr>
        <w:spacing w:after="0"/>
      </w:pPr>
      <w:r w:rsidRPr="00062125">
        <w:t xml:space="preserve">This dataset </w:t>
      </w:r>
      <w:r>
        <w:t xml:space="preserve">summarizes the city’s various </w:t>
      </w:r>
      <w:r w:rsidR="00113DE0">
        <w:t xml:space="preserve">revenue </w:t>
      </w:r>
      <w:r>
        <w:t>sources</w:t>
      </w:r>
      <w:r w:rsidR="00AF346D">
        <w:t xml:space="preserve">.  </w:t>
      </w:r>
      <w:r w:rsidR="006C4137">
        <w:t xml:space="preserve">The revenue dataset </w:t>
      </w:r>
      <w:r w:rsidR="00153BC6">
        <w:t>reflects money coming into the city</w:t>
      </w:r>
      <w:r w:rsidR="006C4137">
        <w:t xml:space="preserve">; some examples include </w:t>
      </w:r>
      <w:r w:rsidR="00153BC6">
        <w:t>real estate tax payments, state</w:t>
      </w:r>
      <w:r w:rsidR="006C4137">
        <w:t xml:space="preserve"> </w:t>
      </w:r>
      <w:r w:rsidR="00153BC6">
        <w:t xml:space="preserve">aid and parking fine collections. </w:t>
      </w:r>
      <w:r w:rsidR="00224AC1">
        <w:t>The city’s financial system</w:t>
      </w:r>
      <w:r w:rsidR="00AF346D">
        <w:t>,</w:t>
      </w:r>
      <w:r w:rsidR="00224AC1">
        <w:t xml:space="preserve"> where revenue collections are recorded daily</w:t>
      </w:r>
      <w:r w:rsidR="00AF346D">
        <w:t>,</w:t>
      </w:r>
      <w:r w:rsidR="00224AC1">
        <w:t xml:space="preserve"> is the source for this data. </w:t>
      </w:r>
    </w:p>
    <w:p w14:paraId="68969C67" w14:textId="77777777" w:rsidR="00AF346D" w:rsidRDefault="00AF346D" w:rsidP="00AF346D">
      <w:pPr>
        <w:spacing w:after="0"/>
      </w:pPr>
    </w:p>
    <w:p w14:paraId="492CD27B" w14:textId="09652486" w:rsidR="00AF346D" w:rsidRDefault="00224AC1" w:rsidP="00AF346D">
      <w:pPr>
        <w:spacing w:after="0"/>
      </w:pPr>
      <w:r>
        <w:t>Th</w:t>
      </w:r>
      <w:r w:rsidR="006C4137">
        <w:t xml:space="preserve">is </w:t>
      </w:r>
      <w:r>
        <w:t>data also contains current budget information</w:t>
      </w:r>
      <w:r w:rsidR="006C4137">
        <w:t xml:space="preserve"> based on the revenue budget adopted by </w:t>
      </w:r>
      <w:r w:rsidR="004927E3">
        <w:t>City Council ahead of each fiscal year</w:t>
      </w:r>
      <w:r w:rsidR="006C4137">
        <w:t xml:space="preserve">. </w:t>
      </w:r>
      <w:r w:rsidR="004927E3">
        <w:t xml:space="preserve"> This </w:t>
      </w:r>
      <w:r w:rsidR="006C4137">
        <w:t xml:space="preserve">budget allows city staff to monitor </w:t>
      </w:r>
      <w:r w:rsidR="00153BC6">
        <w:t xml:space="preserve">and </w:t>
      </w:r>
      <w:r w:rsidR="004927E3">
        <w:t>track</w:t>
      </w:r>
      <w:r w:rsidR="00153BC6">
        <w:t xml:space="preserve"> revenue</w:t>
      </w:r>
      <w:r w:rsidR="004927E3">
        <w:t xml:space="preserve"> collections during the year</w:t>
      </w:r>
      <w:r w:rsidR="006C4137">
        <w:t xml:space="preserve">.  </w:t>
      </w:r>
      <w:r w:rsidR="00AF346D">
        <w:t xml:space="preserve"> </w:t>
      </w:r>
      <w:r w:rsidR="0008618B">
        <w:t xml:space="preserve">The data set includes the current fiscal year and two previous fiscal years.  </w:t>
      </w:r>
      <w:r w:rsidR="002C0985">
        <w:t>This dataset will be updated daily on weekdays</w:t>
      </w:r>
    </w:p>
    <w:p w14:paraId="56099217" w14:textId="77777777" w:rsidR="00AF346D" w:rsidRDefault="00AF346D" w:rsidP="00AF346D">
      <w:pPr>
        <w:spacing w:after="0"/>
      </w:pPr>
    </w:p>
    <w:p w14:paraId="454FEBB0" w14:textId="63F9E52F" w:rsidR="008D6F73" w:rsidRPr="00AF346D" w:rsidRDefault="008C5126" w:rsidP="00AF346D">
      <w:pPr>
        <w:spacing w:after="0"/>
        <w:rPr>
          <w:rFonts w:eastAsia="Times New Roman"/>
          <w:b/>
          <w:bCs/>
          <w:i/>
          <w:iCs/>
        </w:rPr>
      </w:pPr>
      <w:bookmarkStart w:id="0" w:name="_Hlk34397278"/>
      <w:r w:rsidRPr="00AF346D">
        <w:rPr>
          <w:b/>
          <w:bCs/>
          <w:i/>
          <w:iCs/>
        </w:rPr>
        <w:t xml:space="preserve">*Disclaimer: </w:t>
      </w:r>
      <w:r w:rsidR="006C4137">
        <w:rPr>
          <w:b/>
          <w:bCs/>
          <w:i/>
          <w:iCs/>
        </w:rPr>
        <w:t>The revenues shown may not reflect year – end adjustments</w:t>
      </w:r>
      <w:r w:rsidR="00990BB5">
        <w:rPr>
          <w:b/>
          <w:bCs/>
          <w:i/>
          <w:iCs/>
        </w:rPr>
        <w:t xml:space="preserve">.  </w:t>
      </w:r>
      <w:r w:rsidR="006C4137">
        <w:rPr>
          <w:b/>
          <w:bCs/>
          <w:i/>
          <w:iCs/>
        </w:rPr>
        <w:t xml:space="preserve">  </w:t>
      </w:r>
    </w:p>
    <w:bookmarkEnd w:id="0"/>
    <w:p w14:paraId="66BB17AA" w14:textId="77777777" w:rsidR="00AF346D" w:rsidRDefault="00AF346D" w:rsidP="004349D1">
      <w:pPr>
        <w:spacing w:after="0"/>
        <w:rPr>
          <w:rFonts w:ascii="Calibri" w:hAnsi="Calibri" w:cs="Arial"/>
          <w:b/>
          <w:color w:val="000000" w:themeColor="text1"/>
          <w:sz w:val="28"/>
          <w:szCs w:val="28"/>
        </w:rPr>
      </w:pPr>
    </w:p>
    <w:p w14:paraId="2611A225" w14:textId="48365080" w:rsidR="009661C3" w:rsidRPr="00AB4C8A" w:rsidRDefault="004A7A43" w:rsidP="004349D1">
      <w:pPr>
        <w:spacing w:after="0"/>
        <w:rPr>
          <w:rFonts w:ascii="Calibri" w:hAnsi="Calibri" w:cs="Arial"/>
          <w:b/>
          <w:color w:val="000000" w:themeColor="text1"/>
          <w:sz w:val="28"/>
          <w:szCs w:val="28"/>
        </w:rPr>
      </w:pPr>
      <w:r w:rsidRPr="00AB4C8A">
        <w:rPr>
          <w:rFonts w:ascii="Calibri" w:hAnsi="Calibri" w:cs="Arial"/>
          <w:b/>
          <w:color w:val="000000" w:themeColor="text1"/>
          <w:sz w:val="28"/>
          <w:szCs w:val="28"/>
        </w:rPr>
        <w:t>PURPOSE</w:t>
      </w:r>
    </w:p>
    <w:p w14:paraId="0D862BCD" w14:textId="76E71282" w:rsidR="000B322A" w:rsidRPr="00AB4C8A" w:rsidRDefault="00844785" w:rsidP="000B322A">
      <w:pPr>
        <w:spacing w:after="0"/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>Providing the annual revenue report to the public</w:t>
      </w:r>
    </w:p>
    <w:p w14:paraId="6F4B2073" w14:textId="77777777" w:rsidR="004A7A43" w:rsidRPr="00AB4C8A" w:rsidRDefault="004A7A43" w:rsidP="004349D1">
      <w:pPr>
        <w:spacing w:after="0"/>
        <w:rPr>
          <w:rFonts w:ascii="Calibri" w:hAnsi="Calibri" w:cs="Arial"/>
          <w:color w:val="000000" w:themeColor="text1"/>
        </w:rPr>
      </w:pPr>
    </w:p>
    <w:p w14:paraId="3028D8D5" w14:textId="77777777" w:rsidR="00C32B33" w:rsidRPr="00AB4C8A" w:rsidRDefault="00C32B33" w:rsidP="00C32B33">
      <w:pPr>
        <w:spacing w:after="0"/>
        <w:rPr>
          <w:rFonts w:ascii="Calibri" w:hAnsi="Calibri" w:cs="Arial"/>
          <w:b/>
          <w:color w:val="000000" w:themeColor="text1"/>
          <w:sz w:val="28"/>
          <w:szCs w:val="28"/>
        </w:rPr>
      </w:pPr>
      <w:r w:rsidRPr="00AB4C8A">
        <w:rPr>
          <w:rFonts w:ascii="Calibri" w:hAnsi="Calibri" w:cs="Arial"/>
          <w:b/>
          <w:color w:val="000000" w:themeColor="text1"/>
          <w:sz w:val="28"/>
          <w:szCs w:val="28"/>
        </w:rPr>
        <w:t>KEYWORDS</w:t>
      </w:r>
    </w:p>
    <w:p w14:paraId="2A13435D" w14:textId="2C146AD1" w:rsidR="00F20990" w:rsidRPr="00AB4C8A" w:rsidRDefault="00844785" w:rsidP="00C32B33">
      <w:pPr>
        <w:spacing w:after="0"/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Revenue, Budget, Department, Fund, </w:t>
      </w:r>
      <w:r w:rsidR="00113DE0">
        <w:rPr>
          <w:rFonts w:ascii="Calibri" w:hAnsi="Calibri" w:cs="Arial"/>
          <w:color w:val="000000" w:themeColor="text1"/>
        </w:rPr>
        <w:t>Unit</w:t>
      </w:r>
      <w:r w:rsidR="002C0985">
        <w:rPr>
          <w:rFonts w:ascii="Calibri" w:hAnsi="Calibri" w:cs="Arial"/>
          <w:color w:val="000000" w:themeColor="text1"/>
        </w:rPr>
        <w:t>, Money</w:t>
      </w:r>
    </w:p>
    <w:p w14:paraId="400C1469" w14:textId="77777777" w:rsidR="000B322A" w:rsidRPr="00AB4C8A" w:rsidRDefault="000B322A" w:rsidP="00C32B33">
      <w:pPr>
        <w:spacing w:after="0"/>
        <w:rPr>
          <w:rFonts w:ascii="Calibri" w:hAnsi="Calibri" w:cs="Arial"/>
          <w:b/>
          <w:color w:val="000000" w:themeColor="text1"/>
        </w:rPr>
      </w:pPr>
    </w:p>
    <w:p w14:paraId="2A77E0E1" w14:textId="77777777" w:rsidR="009661C3" w:rsidRPr="00AB4C8A" w:rsidRDefault="004A7A43" w:rsidP="004349D1">
      <w:pPr>
        <w:spacing w:after="0"/>
        <w:rPr>
          <w:rFonts w:ascii="Calibri" w:hAnsi="Calibri" w:cs="Arial"/>
          <w:b/>
          <w:color w:val="000000" w:themeColor="text1"/>
          <w:sz w:val="28"/>
          <w:szCs w:val="28"/>
        </w:rPr>
      </w:pPr>
      <w:r w:rsidRPr="00AB4C8A">
        <w:rPr>
          <w:rFonts w:ascii="Calibri" w:hAnsi="Calibri" w:cs="Arial"/>
          <w:b/>
          <w:color w:val="000000" w:themeColor="text1"/>
          <w:sz w:val="28"/>
          <w:szCs w:val="28"/>
        </w:rPr>
        <w:t>AUDIENCE</w:t>
      </w:r>
    </w:p>
    <w:p w14:paraId="53FADE52" w14:textId="417B4D05" w:rsidR="009661C3" w:rsidRPr="00AB4C8A" w:rsidRDefault="00844785" w:rsidP="004349D1">
      <w:pPr>
        <w:spacing w:after="0"/>
        <w:rPr>
          <w:rFonts w:ascii="Calibri" w:hAnsi="Calibri" w:cs="Arial"/>
          <w:b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</w:rPr>
        <w:t>Public</w:t>
      </w:r>
      <w:r>
        <w:rPr>
          <w:rFonts w:ascii="Calibri" w:eastAsia="Times New Roman" w:hAnsi="Calibri" w:cs="Arial"/>
          <w:color w:val="000000" w:themeColor="text1"/>
        </w:rPr>
        <w:tab/>
      </w:r>
    </w:p>
    <w:p w14:paraId="5A2FCDAC" w14:textId="77777777" w:rsidR="00DB718C" w:rsidRPr="00AB4C8A" w:rsidRDefault="00DB718C" w:rsidP="004349D1">
      <w:pPr>
        <w:spacing w:after="0"/>
        <w:rPr>
          <w:rFonts w:ascii="Calibri" w:hAnsi="Calibri" w:cs="Arial"/>
          <w:b/>
          <w:color w:val="000000" w:themeColor="text1"/>
        </w:rPr>
      </w:pPr>
    </w:p>
    <w:p w14:paraId="76F2302C" w14:textId="77777777" w:rsidR="00A92BBF" w:rsidRPr="00AB4C8A" w:rsidRDefault="00A92BBF" w:rsidP="00A92BBF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DEPARTMENT</w:t>
      </w:r>
    </w:p>
    <w:p w14:paraId="442F0F61" w14:textId="74FB0763" w:rsidR="00A92BBF" w:rsidRPr="00AB4C8A" w:rsidRDefault="00844785" w:rsidP="00A92BBF">
      <w:pPr>
        <w:spacing w:after="0"/>
        <w:rPr>
          <w:rFonts w:ascii="Calibri" w:eastAsia="Times New Roman" w:hAnsi="Calibri" w:cs="Arial"/>
          <w:color w:val="000000" w:themeColor="text1"/>
          <w:bdr w:val="none" w:sz="0" w:space="0" w:color="auto" w:frame="1"/>
        </w:rPr>
      </w:pPr>
      <w:r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>Office of Budget and Strategic Planning</w:t>
      </w:r>
    </w:p>
    <w:p w14:paraId="5C6DDEC4" w14:textId="77777777" w:rsidR="00490287" w:rsidRPr="00AB4C8A" w:rsidRDefault="00490287" w:rsidP="00AC2FB0">
      <w:pPr>
        <w:spacing w:after="0"/>
        <w:rPr>
          <w:rFonts w:ascii="Calibri" w:eastAsia="Times New Roman" w:hAnsi="Calibri" w:cs="Arial"/>
          <w:color w:val="000000" w:themeColor="text1"/>
          <w:bdr w:val="none" w:sz="0" w:space="0" w:color="auto" w:frame="1"/>
        </w:rPr>
      </w:pPr>
    </w:p>
    <w:p w14:paraId="7E07FFEF" w14:textId="77777777" w:rsidR="00E95F38" w:rsidRPr="00AB4C8A" w:rsidRDefault="00E95F38" w:rsidP="00E95F38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ACCESSIBILITY</w:t>
      </w:r>
    </w:p>
    <w:p w14:paraId="13F261E6" w14:textId="5D57575A" w:rsidR="009224CE" w:rsidRPr="00AB4C8A" w:rsidRDefault="00E95F38" w:rsidP="00E95F38">
      <w:pPr>
        <w:spacing w:after="0"/>
        <w:rPr>
          <w:rFonts w:ascii="Calibri" w:eastAsia="Times New Roman" w:hAnsi="Calibri" w:cs="Arial"/>
          <w:color w:val="000000" w:themeColor="text1"/>
          <w:bdr w:val="none" w:sz="0" w:space="0" w:color="auto" w:frame="1"/>
        </w:rPr>
      </w:pPr>
      <w:r w:rsidRPr="00AB4C8A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>The data is publicly available and accessible</w:t>
      </w:r>
    </w:p>
    <w:p w14:paraId="54A26196" w14:textId="77777777" w:rsidR="00AC2FB0" w:rsidRPr="00AB4C8A" w:rsidRDefault="00AC2FB0" w:rsidP="00E95F38">
      <w:pPr>
        <w:spacing w:after="0"/>
        <w:rPr>
          <w:rFonts w:ascii="Calibri" w:eastAsia="Times New Roman" w:hAnsi="Calibri" w:cs="Arial"/>
          <w:color w:val="000000" w:themeColor="text1"/>
          <w:bdr w:val="none" w:sz="0" w:space="0" w:color="auto" w:frame="1"/>
        </w:rPr>
      </w:pPr>
    </w:p>
    <w:p w14:paraId="748697B2" w14:textId="77777777" w:rsidR="00AC2FB0" w:rsidRPr="00045544" w:rsidRDefault="00AC2FB0" w:rsidP="00E95F38">
      <w:pPr>
        <w:spacing w:after="0"/>
        <w:rPr>
          <w:rFonts w:ascii="Calibri" w:eastAsia="Times New Roman" w:hAnsi="Calibri" w:cs="Arial"/>
          <w:b/>
          <w:sz w:val="28"/>
          <w:szCs w:val="28"/>
          <w:bdr w:val="none" w:sz="0" w:space="0" w:color="auto" w:frame="1"/>
        </w:rPr>
      </w:pPr>
      <w:r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RES</w:t>
      </w:r>
      <w:r w:rsidRPr="00045544">
        <w:rPr>
          <w:rFonts w:ascii="Calibri" w:eastAsia="Times New Roman" w:hAnsi="Calibri" w:cs="Arial"/>
          <w:b/>
          <w:sz w:val="28"/>
          <w:szCs w:val="28"/>
          <w:bdr w:val="none" w:sz="0" w:space="0" w:color="auto" w:frame="1"/>
        </w:rPr>
        <w:t>TRICTIONS</w:t>
      </w:r>
    </w:p>
    <w:p w14:paraId="6A76908E" w14:textId="3D2BB96A" w:rsidR="00D5573E" w:rsidRPr="00045544" w:rsidRDefault="00045544" w:rsidP="006C5F9F">
      <w:pPr>
        <w:spacing w:after="20"/>
        <w:rPr>
          <w:rFonts w:ascii="Calibri" w:hAnsi="Calibri" w:cs="Arial"/>
        </w:rPr>
      </w:pPr>
      <w:bookmarkStart w:id="1" w:name="_Hlk10808752"/>
      <w:r w:rsidRPr="00045544">
        <w:rPr>
          <w:rFonts w:ascii="Calibri" w:hAnsi="Calibri" w:cs="Arial"/>
        </w:rPr>
        <w:t>None</w:t>
      </w:r>
    </w:p>
    <w:bookmarkEnd w:id="1"/>
    <w:p w14:paraId="61949264" w14:textId="77777777" w:rsidR="006C5F9F" w:rsidRPr="00AB4C8A" w:rsidRDefault="006C5F9F" w:rsidP="006C5F9F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1BC0FB5E" w14:textId="77777777" w:rsidR="008E7C17" w:rsidRPr="00AB4C8A" w:rsidRDefault="00A42A34" w:rsidP="004349D1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H</w:t>
      </w:r>
      <w:r w:rsidR="007E65EC"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OW</w:t>
      </w:r>
      <w:r w:rsidR="00A55C2C"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 xml:space="preserve"> OFTEN DATA</w:t>
      </w:r>
      <w:r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 xml:space="preserve"> IS UPDATED</w:t>
      </w:r>
    </w:p>
    <w:p w14:paraId="55781459" w14:textId="72194825" w:rsidR="00611E72" w:rsidRPr="00AB4C8A" w:rsidRDefault="003B1237" w:rsidP="004349D1">
      <w:pPr>
        <w:spacing w:after="0"/>
        <w:rPr>
          <w:rFonts w:ascii="Calibri" w:eastAsia="Times New Roman" w:hAnsi="Calibri" w:cs="Arial"/>
          <w:color w:val="000000" w:themeColor="text1"/>
          <w:bdr w:val="none" w:sz="0" w:space="0" w:color="auto" w:frame="1"/>
        </w:rPr>
      </w:pPr>
      <w:r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>Daily</w:t>
      </w:r>
      <w:r w:rsidR="002C0985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 on weekdays</w:t>
      </w:r>
    </w:p>
    <w:p w14:paraId="7AB173F1" w14:textId="77777777" w:rsidR="00B552AB" w:rsidRPr="00AB4C8A" w:rsidRDefault="00B552AB" w:rsidP="004349D1">
      <w:pPr>
        <w:spacing w:after="0"/>
        <w:rPr>
          <w:rFonts w:ascii="Calibri" w:eastAsia="Times New Roman" w:hAnsi="Calibri" w:cs="Arial"/>
          <w:color w:val="000000" w:themeColor="text1"/>
          <w:bdr w:val="none" w:sz="0" w:space="0" w:color="auto" w:frame="1"/>
        </w:rPr>
      </w:pPr>
    </w:p>
    <w:p w14:paraId="04B9EE0C" w14:textId="77777777" w:rsidR="00B552AB" w:rsidRPr="00AB4C8A" w:rsidRDefault="00B552AB" w:rsidP="00B552AB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 xml:space="preserve">TIMEFRAME DATA ENCOMPASSES </w:t>
      </w:r>
    </w:p>
    <w:p w14:paraId="6BEE01D2" w14:textId="204CB56C" w:rsidR="00B552AB" w:rsidRDefault="004B1270" w:rsidP="00B552AB">
      <w:pPr>
        <w:spacing w:after="0"/>
        <w:rPr>
          <w:rFonts w:ascii="Calibri" w:eastAsia="Times New Roman" w:hAnsi="Calibri" w:cs="Arial"/>
          <w:color w:val="000000" w:themeColor="text1"/>
          <w:bdr w:val="none" w:sz="0" w:space="0" w:color="auto" w:frame="1"/>
        </w:rPr>
      </w:pPr>
      <w:r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Three years; the current fiscal year and two previous fiscal years.  </w:t>
      </w:r>
      <w:r w:rsidRPr="004B1270">
        <w:rPr>
          <w:rFonts w:ascii="Calibri" w:eastAsia="Times New Roman" w:hAnsi="Calibri" w:cs="Arial"/>
          <w:b/>
          <w:bCs/>
          <w:color w:val="000000" w:themeColor="text1"/>
          <w:bdr w:val="none" w:sz="0" w:space="0" w:color="auto" w:frame="1"/>
        </w:rPr>
        <w:t xml:space="preserve">The </w:t>
      </w:r>
      <w:r w:rsidR="009558AB" w:rsidRPr="00620E07">
        <w:rPr>
          <w:rFonts w:ascii="Calibri" w:eastAsia="Times New Roman" w:hAnsi="Calibri" w:cs="Arial"/>
          <w:b/>
          <w:bCs/>
          <w:color w:val="000000" w:themeColor="text1"/>
          <w:bdr w:val="none" w:sz="0" w:space="0" w:color="auto" w:frame="1"/>
        </w:rPr>
        <w:t>c</w:t>
      </w:r>
      <w:r w:rsidR="00301AF3" w:rsidRPr="00620E07">
        <w:rPr>
          <w:rFonts w:ascii="Calibri" w:eastAsia="Times New Roman" w:hAnsi="Calibri" w:cs="Arial"/>
          <w:b/>
          <w:bCs/>
          <w:color w:val="000000" w:themeColor="text1"/>
          <w:bdr w:val="none" w:sz="0" w:space="0" w:color="auto" w:frame="1"/>
        </w:rPr>
        <w:t>ity’s fiscal year runs July 1 t</w:t>
      </w:r>
      <w:r w:rsidR="009558AB" w:rsidRPr="00620E07">
        <w:rPr>
          <w:rFonts w:ascii="Calibri" w:eastAsia="Times New Roman" w:hAnsi="Calibri" w:cs="Arial"/>
          <w:b/>
          <w:bCs/>
          <w:color w:val="000000" w:themeColor="text1"/>
          <w:bdr w:val="none" w:sz="0" w:space="0" w:color="auto" w:frame="1"/>
        </w:rPr>
        <w:t>o</w:t>
      </w:r>
      <w:r w:rsidR="00301AF3" w:rsidRPr="00620E07">
        <w:rPr>
          <w:rFonts w:ascii="Calibri" w:eastAsia="Times New Roman" w:hAnsi="Calibri" w:cs="Arial"/>
          <w:b/>
          <w:bCs/>
          <w:color w:val="000000" w:themeColor="text1"/>
          <w:bdr w:val="none" w:sz="0" w:space="0" w:color="auto" w:frame="1"/>
        </w:rPr>
        <w:t xml:space="preserve"> June 30</w:t>
      </w:r>
    </w:p>
    <w:p w14:paraId="24C8CFB9" w14:textId="77777777" w:rsidR="00B059AF" w:rsidRDefault="00B059AF" w:rsidP="00B552AB">
      <w:pPr>
        <w:spacing w:after="0"/>
        <w:rPr>
          <w:rFonts w:ascii="Calibri" w:eastAsia="Times New Roman" w:hAnsi="Calibri" w:cs="Arial"/>
          <w:color w:val="000000" w:themeColor="text1"/>
          <w:bdr w:val="none" w:sz="0" w:space="0" w:color="auto" w:frame="1"/>
        </w:rPr>
      </w:pPr>
    </w:p>
    <w:p w14:paraId="32568B3B" w14:textId="77777777" w:rsidR="00B059AF" w:rsidRPr="00AB4C8A" w:rsidRDefault="003B097F" w:rsidP="00B059AF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THE DATASET DOES NOT CONTAIN</w:t>
      </w:r>
    </w:p>
    <w:p w14:paraId="07BA28F1" w14:textId="1CA0F13A" w:rsidR="006C4137" w:rsidRPr="006C4137" w:rsidRDefault="006C4137" w:rsidP="006C4137">
      <w:pPr>
        <w:spacing w:after="0"/>
        <w:rPr>
          <w:rFonts w:eastAsia="Times New Roman"/>
        </w:rPr>
      </w:pPr>
      <w:bookmarkStart w:id="2" w:name="_Hlk15319987"/>
      <w:r w:rsidRPr="006C4137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This dataset </w:t>
      </w:r>
      <w:r w:rsidR="003A25F9" w:rsidRPr="006C4137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does not </w:t>
      </w:r>
      <w:r w:rsidRPr="006C4137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contain </w:t>
      </w:r>
      <w:r w:rsidR="003A25F9" w:rsidRPr="006C4137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>identifying information from individual revenue payers.</w:t>
      </w:r>
      <w:r w:rsidRPr="006C4137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  </w:t>
      </w:r>
      <w:bookmarkEnd w:id="2"/>
      <w:r w:rsidR="00A03C29" w:rsidRPr="006C4137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This data also excludes </w:t>
      </w:r>
      <w:r w:rsidR="003A25F9" w:rsidRPr="006C4137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revenue from </w:t>
      </w:r>
      <w:r w:rsidR="00A03C29" w:rsidRPr="006C4137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citywide grant funds and capital projects. </w:t>
      </w:r>
      <w:r w:rsidRPr="006C4137">
        <w:t>The revenues shown may not reflect year – end adjustments</w:t>
      </w:r>
      <w:r w:rsidR="00620E07">
        <w:t xml:space="preserve">.  </w:t>
      </w:r>
      <w:r w:rsidRPr="006C4137">
        <w:t xml:space="preserve">  </w:t>
      </w:r>
    </w:p>
    <w:p w14:paraId="3D28258F" w14:textId="0BC15D9A" w:rsidR="00B059AF" w:rsidRPr="006C4137" w:rsidRDefault="00B059AF" w:rsidP="00B552AB">
      <w:pPr>
        <w:spacing w:after="0"/>
        <w:rPr>
          <w:rFonts w:ascii="Calibri" w:eastAsia="Times New Roman" w:hAnsi="Calibri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4EEAFB78" w14:textId="77777777" w:rsidR="00D26924" w:rsidRPr="00AB4C8A" w:rsidRDefault="00E95F38" w:rsidP="00D26924">
      <w:pPr>
        <w:spacing w:after="0"/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</w:pPr>
      <w:r w:rsidRPr="00AB4C8A">
        <w:rPr>
          <w:rFonts w:ascii="Calibri" w:eastAsia="Times New Roman" w:hAnsi="Calibri" w:cs="Arial"/>
          <w:b/>
          <w:color w:val="000000" w:themeColor="text1"/>
          <w:sz w:val="28"/>
          <w:szCs w:val="28"/>
          <w:bdr w:val="none" w:sz="0" w:space="0" w:color="auto" w:frame="1"/>
        </w:rPr>
        <w:t>RESOURCES</w:t>
      </w:r>
    </w:p>
    <w:p w14:paraId="27BE0FF9" w14:textId="0E8E13B5" w:rsidR="006060AC" w:rsidRPr="00AB4C8A" w:rsidRDefault="00844785" w:rsidP="006060AC">
      <w:pPr>
        <w:spacing w:after="0"/>
        <w:rPr>
          <w:rFonts w:ascii="Calibri" w:eastAsia="Times New Roman" w:hAnsi="Calibri" w:cs="Arial"/>
          <w:color w:val="000000" w:themeColor="text1"/>
          <w:bdr w:val="none" w:sz="0" w:space="0" w:color="auto" w:frame="1"/>
        </w:rPr>
      </w:pPr>
      <w:r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>City of Norfolk’s Revenue and Expenditure Dashboard:</w:t>
      </w:r>
    </w:p>
    <w:p w14:paraId="4187F402" w14:textId="77777777" w:rsidR="00844785" w:rsidRDefault="002C0985" w:rsidP="00A55C2C">
      <w:pPr>
        <w:spacing w:after="0"/>
        <w:rPr>
          <w:rFonts w:ascii="Calibri" w:eastAsia="Times New Roman" w:hAnsi="Calibri" w:cs="Arial"/>
          <w:color w:val="000000" w:themeColor="text1"/>
          <w:bdr w:val="none" w:sz="0" w:space="0" w:color="auto" w:frame="1"/>
        </w:rPr>
      </w:pPr>
      <w:hyperlink r:id="rId7" w:history="1">
        <w:r w:rsidR="00844785">
          <w:rPr>
            <w:rStyle w:val="Hyperlink"/>
          </w:rPr>
          <w:t>https://app.powerbigov.us/view?r=eyJrIjoiNzIxM2EzNDctMTY3OC00YzQwLWJhYzctYjJiZjEzZmU0YzAyIiwidCI6IjUzODZkMzU1LTJmYWUtNGZlOC05MTc0LWI4OWU0MDhiYTk5MSJ9</w:t>
        </w:r>
      </w:hyperlink>
      <w:r w:rsidR="00844785" w:rsidRPr="00AB4C8A"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 </w:t>
      </w:r>
    </w:p>
    <w:p w14:paraId="2378AE31" w14:textId="0E2E2783" w:rsidR="00A55C2C" w:rsidRPr="00AB4C8A" w:rsidRDefault="00844785" w:rsidP="00A55C2C">
      <w:pPr>
        <w:spacing w:after="0"/>
        <w:rPr>
          <w:rFonts w:ascii="Calibri" w:hAnsi="Calibri" w:cs="Arial"/>
          <w:color w:val="000000" w:themeColor="text1"/>
        </w:rPr>
      </w:pPr>
      <w:r>
        <w:rPr>
          <w:rFonts w:ascii="Calibri" w:eastAsia="Times New Roman" w:hAnsi="Calibri" w:cs="Arial"/>
          <w:color w:val="000000" w:themeColor="text1"/>
          <w:bdr w:val="none" w:sz="0" w:space="0" w:color="auto" w:frame="1"/>
        </w:rPr>
        <w:t xml:space="preserve">Office of Budget &amp; Strategic Planning home page: </w:t>
      </w:r>
      <w:hyperlink r:id="rId8" w:history="1">
        <w:r>
          <w:rPr>
            <w:rStyle w:val="Hyperlink"/>
          </w:rPr>
          <w:t>https://www.norfolk.gov/index.aspx?NID=407</w:t>
        </w:r>
      </w:hyperlink>
    </w:p>
    <w:p w14:paraId="30602525" w14:textId="77777777" w:rsidR="00D26924" w:rsidRPr="00AB4C8A" w:rsidRDefault="00D26924" w:rsidP="004349D1">
      <w:pPr>
        <w:spacing w:after="0"/>
        <w:rPr>
          <w:rFonts w:ascii="Calibri" w:eastAsia="Times New Roman" w:hAnsi="Calibri" w:cs="Arial"/>
          <w:b/>
          <w:color w:val="000000" w:themeColor="text1"/>
          <w:bdr w:val="none" w:sz="0" w:space="0" w:color="auto" w:frame="1"/>
        </w:rPr>
      </w:pPr>
    </w:p>
    <w:p w14:paraId="737DD35B" w14:textId="77777777" w:rsidR="002047D1" w:rsidRPr="00AB4C8A" w:rsidRDefault="002047D1" w:rsidP="002047D1">
      <w:pPr>
        <w:spacing w:after="0"/>
        <w:rPr>
          <w:rFonts w:ascii="Calibri" w:hAnsi="Calibri" w:cs="Arial"/>
          <w:b/>
          <w:color w:val="000000" w:themeColor="text1"/>
          <w:sz w:val="28"/>
          <w:szCs w:val="28"/>
        </w:rPr>
      </w:pPr>
      <w:r w:rsidRPr="00AB4C8A">
        <w:rPr>
          <w:rFonts w:ascii="Calibri" w:hAnsi="Calibri" w:cs="Arial"/>
          <w:b/>
          <w:color w:val="000000" w:themeColor="text1"/>
          <w:sz w:val="28"/>
          <w:szCs w:val="28"/>
        </w:rPr>
        <w:t>CONTACT</w:t>
      </w:r>
    </w:p>
    <w:p w14:paraId="3D223EDF" w14:textId="78099A71" w:rsidR="006060AC" w:rsidRPr="00AB4C8A" w:rsidRDefault="00844785" w:rsidP="006060AC">
      <w:pPr>
        <w:spacing w:after="0"/>
        <w:rPr>
          <w:rFonts w:ascii="Calibri" w:hAnsi="Calibri" w:cs="Arial"/>
          <w:b/>
          <w:color w:val="000000" w:themeColor="text1"/>
        </w:rPr>
      </w:pPr>
      <w:r>
        <w:rPr>
          <w:rFonts w:ascii="Calibri" w:hAnsi="Calibri" w:cs="Arial"/>
          <w:b/>
          <w:color w:val="000000" w:themeColor="text1"/>
        </w:rPr>
        <w:t>Office of Budget and Strategic Planning</w:t>
      </w:r>
    </w:p>
    <w:p w14:paraId="65D2D1BE" w14:textId="58A3D583" w:rsidR="00F248FD" w:rsidRPr="00F06F4A" w:rsidRDefault="002C0985" w:rsidP="00F248FD">
      <w:pPr>
        <w:spacing w:after="0"/>
        <w:rPr>
          <w:rFonts w:ascii="Calibri" w:hAnsi="Calibri" w:cs="Arial"/>
          <w:b/>
          <w:color w:val="000000" w:themeColor="text1"/>
        </w:rPr>
      </w:pPr>
      <w:r>
        <w:rPr>
          <w:rFonts w:ascii="Calibri" w:hAnsi="Calibri" w:cs="Arial"/>
          <w:b/>
          <w:color w:val="000000" w:themeColor="text1"/>
        </w:rPr>
        <w:t>Emily Uselton – Interim Director</w:t>
      </w:r>
    </w:p>
    <w:p w14:paraId="63C552F8" w14:textId="2B63E697" w:rsidR="007B4005" w:rsidRDefault="00844785" w:rsidP="006060AC">
      <w:pPr>
        <w:spacing w:after="0"/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>810 Union Street</w:t>
      </w:r>
    </w:p>
    <w:p w14:paraId="3291FD9B" w14:textId="67486D60" w:rsidR="00844785" w:rsidRPr="00AB4C8A" w:rsidRDefault="00844785" w:rsidP="006060AC">
      <w:pPr>
        <w:spacing w:after="0"/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>Suite 607</w:t>
      </w:r>
    </w:p>
    <w:p w14:paraId="240CD1FB" w14:textId="0828527E" w:rsidR="006060AC" w:rsidRPr="00AB4C8A" w:rsidRDefault="007B4005" w:rsidP="006060AC">
      <w:pPr>
        <w:spacing w:after="0"/>
        <w:rPr>
          <w:rFonts w:ascii="Calibri" w:hAnsi="Calibri" w:cs="Arial"/>
          <w:color w:val="000000" w:themeColor="text1"/>
        </w:rPr>
      </w:pPr>
      <w:r w:rsidRPr="00AB4C8A">
        <w:rPr>
          <w:rFonts w:ascii="Calibri" w:hAnsi="Calibri" w:cs="Arial"/>
          <w:color w:val="000000" w:themeColor="text1"/>
        </w:rPr>
        <w:t>P</w:t>
      </w:r>
      <w:r w:rsidR="006060AC" w:rsidRPr="00AB4C8A">
        <w:rPr>
          <w:rFonts w:ascii="Calibri" w:hAnsi="Calibri" w:cs="Arial"/>
          <w:color w:val="000000" w:themeColor="text1"/>
        </w:rPr>
        <w:t xml:space="preserve">: (757) </w:t>
      </w:r>
      <w:r w:rsidR="002C0985">
        <w:rPr>
          <w:rFonts w:ascii="Calibri" w:hAnsi="Calibri" w:cs="Arial"/>
          <w:color w:val="000000" w:themeColor="text1"/>
        </w:rPr>
        <w:t>738-5076</w:t>
      </w:r>
    </w:p>
    <w:p w14:paraId="1AE05484" w14:textId="5FF2B5C6" w:rsidR="00C80130" w:rsidRPr="00AB4C8A" w:rsidRDefault="00711EBE" w:rsidP="00B00FE2">
      <w:pPr>
        <w:spacing w:after="0"/>
        <w:rPr>
          <w:rStyle w:val="Hyperlink"/>
          <w:rFonts w:ascii="Calibri" w:hAnsi="Calibri" w:cs="Arial"/>
          <w:color w:val="000000" w:themeColor="text1"/>
        </w:rPr>
      </w:pPr>
      <w:r w:rsidRPr="00AB4C8A">
        <w:rPr>
          <w:rFonts w:ascii="Calibri" w:hAnsi="Calibri" w:cs="Arial"/>
          <w:color w:val="000000" w:themeColor="text1"/>
        </w:rPr>
        <w:t>E</w:t>
      </w:r>
      <w:r w:rsidR="006060AC" w:rsidRPr="00AB4C8A">
        <w:rPr>
          <w:rFonts w:ascii="Calibri" w:hAnsi="Calibri" w:cs="Arial"/>
          <w:color w:val="000000" w:themeColor="text1"/>
        </w:rPr>
        <w:t xml:space="preserve">: </w:t>
      </w:r>
      <w:hyperlink r:id="rId9" w:history="1">
        <w:r w:rsidR="002C0985" w:rsidRPr="00B64F05">
          <w:rPr>
            <w:rStyle w:val="Hyperlink"/>
          </w:rPr>
          <w:t>Emily.Uselton@norfolk.gov</w:t>
        </w:r>
      </w:hyperlink>
      <w:r w:rsidR="002C0985">
        <w:t xml:space="preserve"> </w:t>
      </w:r>
    </w:p>
    <w:p w14:paraId="2B1706A0" w14:textId="77777777" w:rsidR="00B552AB" w:rsidRPr="00AB4C8A" w:rsidRDefault="00B552AB" w:rsidP="00B00FE2">
      <w:pPr>
        <w:spacing w:after="0"/>
        <w:rPr>
          <w:rStyle w:val="Hyperlink"/>
          <w:rFonts w:ascii="Calibri" w:hAnsi="Calibri" w:cs="Arial"/>
          <w:color w:val="000000" w:themeColor="text1"/>
        </w:rPr>
      </w:pPr>
    </w:p>
    <w:p w14:paraId="7FF0DCEC" w14:textId="77777777" w:rsidR="00A55C2C" w:rsidRPr="00AB4C8A" w:rsidRDefault="00A55C2C" w:rsidP="00B552AB">
      <w:pPr>
        <w:spacing w:after="0"/>
        <w:rPr>
          <w:rFonts w:ascii="Calibri" w:hAnsi="Calibri" w:cs="Arial"/>
          <w:color w:val="000000" w:themeColor="text1"/>
        </w:rPr>
      </w:pPr>
    </w:p>
    <w:p w14:paraId="56584CDC" w14:textId="77777777" w:rsidR="00B552AB" w:rsidRPr="00AB4C8A" w:rsidRDefault="00B552AB" w:rsidP="00B00FE2">
      <w:pPr>
        <w:spacing w:after="0"/>
        <w:rPr>
          <w:rStyle w:val="Hyperlink"/>
          <w:rFonts w:ascii="Calibri" w:hAnsi="Calibri" w:cs="Arial"/>
          <w:color w:val="000000" w:themeColor="text1"/>
        </w:rPr>
      </w:pPr>
    </w:p>
    <w:p w14:paraId="148968F8" w14:textId="77777777" w:rsidR="00B552AB" w:rsidRPr="00AB4C8A" w:rsidRDefault="00B552AB" w:rsidP="00B00FE2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</w:p>
    <w:p w14:paraId="768CABC9" w14:textId="77777777" w:rsidR="00C80130" w:rsidRPr="00AB4C8A" w:rsidRDefault="00C80130" w:rsidP="00B00FE2">
      <w:pPr>
        <w:spacing w:after="0"/>
        <w:rPr>
          <w:color w:val="000000" w:themeColor="text1"/>
        </w:rPr>
      </w:pPr>
    </w:p>
    <w:sectPr w:rsidR="00C80130" w:rsidRPr="00AB4C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CA9B5" w14:textId="77777777" w:rsidR="00A2367A" w:rsidRDefault="00A2367A" w:rsidP="00784A7D">
      <w:pPr>
        <w:spacing w:after="0" w:line="240" w:lineRule="auto"/>
      </w:pPr>
      <w:r>
        <w:separator/>
      </w:r>
    </w:p>
  </w:endnote>
  <w:endnote w:type="continuationSeparator" w:id="0">
    <w:p w14:paraId="0074D4C3" w14:textId="77777777" w:rsidR="00A2367A" w:rsidRDefault="00A2367A" w:rsidP="0078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A0002AE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4008C" w14:paraId="52D1727C" w14:textId="77777777" w:rsidTr="00F4008C">
      <w:trPr>
        <w:jc w:val="right"/>
      </w:trPr>
      <w:tc>
        <w:tcPr>
          <w:tcW w:w="4795" w:type="dxa"/>
          <w:vAlign w:val="center"/>
        </w:tcPr>
        <w:p w14:paraId="73075C5D" w14:textId="77777777" w:rsidR="00C83417" w:rsidRPr="00C83417" w:rsidRDefault="00C83417" w:rsidP="00C83417">
          <w:pPr>
            <w:pStyle w:val="Header"/>
            <w:jc w:val="right"/>
            <w:rPr>
              <w:b/>
              <w:caps/>
              <w:color w:val="000000" w:themeColor="text1"/>
            </w:rPr>
          </w:pPr>
        </w:p>
        <w:p w14:paraId="7C6F60DB" w14:textId="062CB820" w:rsidR="00F4008C" w:rsidRPr="00AC2FB0" w:rsidRDefault="00C83417" w:rsidP="00C83417">
          <w:pPr>
            <w:pStyle w:val="Header"/>
            <w:jc w:val="right"/>
            <w:rPr>
              <w:caps/>
              <w:color w:val="FFFFFF" w:themeColor="background1"/>
            </w:rPr>
          </w:pPr>
          <w:r w:rsidRPr="00C83417">
            <w:rPr>
              <w:b/>
              <w:caps/>
              <w:color w:val="000000" w:themeColor="text1"/>
            </w:rPr>
            <w:t xml:space="preserve">Office of </w:t>
          </w:r>
          <w:r w:rsidR="003B1237">
            <w:rPr>
              <w:b/>
              <w:caps/>
              <w:color w:val="000000" w:themeColor="text1"/>
            </w:rPr>
            <w:t>BUDGET AND STRATEGIC PLANNING</w:t>
          </w:r>
          <w:r w:rsidR="00514FDC">
            <w:rPr>
              <w:b/>
              <w:caps/>
              <w:color w:val="000000" w:themeColor="text1"/>
            </w:rPr>
            <w:t xml:space="preserve"> – INFORMATION WORKSHEET</w:t>
          </w:r>
        </w:p>
      </w:tc>
      <w:tc>
        <w:tcPr>
          <w:tcW w:w="250" w:type="pct"/>
          <w:tcBorders>
            <w:bottom w:val="single" w:sz="4" w:space="0" w:color="auto"/>
          </w:tcBorders>
          <w:shd w:val="clear" w:color="auto" w:fill="002060"/>
          <w:vAlign w:val="center"/>
        </w:tcPr>
        <w:p w14:paraId="57E3A22D" w14:textId="77777777" w:rsidR="00F4008C" w:rsidRDefault="00F4008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A3F58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21EC98" w14:textId="77777777" w:rsidR="00F4008C" w:rsidRDefault="00F40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1136F" w14:textId="77777777" w:rsidR="00A2367A" w:rsidRDefault="00A2367A" w:rsidP="00784A7D">
      <w:pPr>
        <w:spacing w:after="0" w:line="240" w:lineRule="auto"/>
      </w:pPr>
      <w:r>
        <w:separator/>
      </w:r>
    </w:p>
  </w:footnote>
  <w:footnote w:type="continuationSeparator" w:id="0">
    <w:p w14:paraId="6FE00986" w14:textId="77777777" w:rsidR="00A2367A" w:rsidRDefault="00A2367A" w:rsidP="0078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3F3D" w14:textId="77777777" w:rsidR="00784A7D" w:rsidRDefault="002A1A5F" w:rsidP="00784A7D">
    <w:pPr>
      <w:pStyle w:val="Header"/>
      <w:jc w:val="center"/>
    </w:pPr>
    <w:r>
      <w:rPr>
        <w:rFonts w:ascii="Gill Sans" w:hAnsi="Gill Sans" w:cs="Gill Sans"/>
        <w:noProof/>
        <w:color w:val="3D5588"/>
        <w:sz w:val="28"/>
        <w:szCs w:val="28"/>
      </w:rPr>
      <w:drawing>
        <wp:inline distT="0" distB="0" distL="0" distR="0" wp14:anchorId="7AC7355C" wp14:editId="4756F712">
          <wp:extent cx="5942464" cy="1022985"/>
          <wp:effectExtent l="0" t="0" r="127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o header green lin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2464" cy="1022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7BDB3A" w14:textId="77777777" w:rsidR="00784A7D" w:rsidRDefault="00784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60EF"/>
    <w:multiLevelType w:val="hybridMultilevel"/>
    <w:tmpl w:val="0ACCA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001F1"/>
    <w:multiLevelType w:val="hybridMultilevel"/>
    <w:tmpl w:val="69FA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F7204"/>
    <w:multiLevelType w:val="multilevel"/>
    <w:tmpl w:val="8FE6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91503"/>
    <w:multiLevelType w:val="hybridMultilevel"/>
    <w:tmpl w:val="A9A0F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9A75D8"/>
    <w:multiLevelType w:val="hybridMultilevel"/>
    <w:tmpl w:val="4AE8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21875">
    <w:abstractNumId w:val="2"/>
  </w:num>
  <w:num w:numId="2" w16cid:durableId="68619423">
    <w:abstractNumId w:val="4"/>
  </w:num>
  <w:num w:numId="3" w16cid:durableId="160001516">
    <w:abstractNumId w:val="1"/>
  </w:num>
  <w:num w:numId="4" w16cid:durableId="2053773889">
    <w:abstractNumId w:val="3"/>
  </w:num>
  <w:num w:numId="5" w16cid:durableId="1338537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DB"/>
    <w:rsid w:val="00017410"/>
    <w:rsid w:val="00020B34"/>
    <w:rsid w:val="000268F4"/>
    <w:rsid w:val="000345E6"/>
    <w:rsid w:val="00037970"/>
    <w:rsid w:val="00045544"/>
    <w:rsid w:val="00046CE3"/>
    <w:rsid w:val="000529C7"/>
    <w:rsid w:val="0005748C"/>
    <w:rsid w:val="00062125"/>
    <w:rsid w:val="0008618B"/>
    <w:rsid w:val="000A77AF"/>
    <w:rsid w:val="000B322A"/>
    <w:rsid w:val="000B642D"/>
    <w:rsid w:val="000C3081"/>
    <w:rsid w:val="000C5EB3"/>
    <w:rsid w:val="000C7725"/>
    <w:rsid w:val="000D4561"/>
    <w:rsid w:val="000E44A2"/>
    <w:rsid w:val="000E60BD"/>
    <w:rsid w:val="000F022B"/>
    <w:rsid w:val="000F597A"/>
    <w:rsid w:val="0010013D"/>
    <w:rsid w:val="00113DE0"/>
    <w:rsid w:val="00130B75"/>
    <w:rsid w:val="00140C2B"/>
    <w:rsid w:val="00153123"/>
    <w:rsid w:val="00153BC6"/>
    <w:rsid w:val="0015763B"/>
    <w:rsid w:val="00162F96"/>
    <w:rsid w:val="0017198C"/>
    <w:rsid w:val="001723F1"/>
    <w:rsid w:val="0018650E"/>
    <w:rsid w:val="001973E7"/>
    <w:rsid w:val="00197827"/>
    <w:rsid w:val="001A2F41"/>
    <w:rsid w:val="001A3C51"/>
    <w:rsid w:val="001A4161"/>
    <w:rsid w:val="001D1C13"/>
    <w:rsid w:val="001D4BDB"/>
    <w:rsid w:val="001E400C"/>
    <w:rsid w:val="001F7633"/>
    <w:rsid w:val="002047D1"/>
    <w:rsid w:val="00217C41"/>
    <w:rsid w:val="002229D8"/>
    <w:rsid w:val="00224AC1"/>
    <w:rsid w:val="00234E8A"/>
    <w:rsid w:val="002563B6"/>
    <w:rsid w:val="00256C66"/>
    <w:rsid w:val="002876D6"/>
    <w:rsid w:val="002914B8"/>
    <w:rsid w:val="002A1A5F"/>
    <w:rsid w:val="002A3B47"/>
    <w:rsid w:val="002A3F58"/>
    <w:rsid w:val="002A460A"/>
    <w:rsid w:val="002A6366"/>
    <w:rsid w:val="002A7E53"/>
    <w:rsid w:val="002B0202"/>
    <w:rsid w:val="002C0985"/>
    <w:rsid w:val="002C1B08"/>
    <w:rsid w:val="002D12DC"/>
    <w:rsid w:val="002E0EFD"/>
    <w:rsid w:val="002E59E3"/>
    <w:rsid w:val="002F47E7"/>
    <w:rsid w:val="00301AF3"/>
    <w:rsid w:val="00302A42"/>
    <w:rsid w:val="003204E4"/>
    <w:rsid w:val="003206AA"/>
    <w:rsid w:val="00342B71"/>
    <w:rsid w:val="003508EA"/>
    <w:rsid w:val="003522E4"/>
    <w:rsid w:val="00364F4D"/>
    <w:rsid w:val="00371B86"/>
    <w:rsid w:val="0039263B"/>
    <w:rsid w:val="00396163"/>
    <w:rsid w:val="003A25F9"/>
    <w:rsid w:val="003A2930"/>
    <w:rsid w:val="003A42B3"/>
    <w:rsid w:val="003B097F"/>
    <w:rsid w:val="003B1237"/>
    <w:rsid w:val="003C4CC0"/>
    <w:rsid w:val="003D0EDA"/>
    <w:rsid w:val="003E4FFA"/>
    <w:rsid w:val="003F4673"/>
    <w:rsid w:val="0043370E"/>
    <w:rsid w:val="004349D1"/>
    <w:rsid w:val="004777A2"/>
    <w:rsid w:val="00482A3D"/>
    <w:rsid w:val="00490287"/>
    <w:rsid w:val="004927E3"/>
    <w:rsid w:val="004A7A43"/>
    <w:rsid w:val="004B1270"/>
    <w:rsid w:val="004B4B9B"/>
    <w:rsid w:val="00514FDC"/>
    <w:rsid w:val="00520FDB"/>
    <w:rsid w:val="00555CA2"/>
    <w:rsid w:val="00557EDF"/>
    <w:rsid w:val="00557FD6"/>
    <w:rsid w:val="0056056F"/>
    <w:rsid w:val="00562766"/>
    <w:rsid w:val="00575BF9"/>
    <w:rsid w:val="00580827"/>
    <w:rsid w:val="00580A0E"/>
    <w:rsid w:val="00581BB6"/>
    <w:rsid w:val="005848D2"/>
    <w:rsid w:val="00587CAF"/>
    <w:rsid w:val="005926B5"/>
    <w:rsid w:val="005C4BB7"/>
    <w:rsid w:val="005D6724"/>
    <w:rsid w:val="006060AC"/>
    <w:rsid w:val="00611E72"/>
    <w:rsid w:val="006207ED"/>
    <w:rsid w:val="00620E07"/>
    <w:rsid w:val="006338EB"/>
    <w:rsid w:val="00635551"/>
    <w:rsid w:val="0064184A"/>
    <w:rsid w:val="006614B1"/>
    <w:rsid w:val="006818E7"/>
    <w:rsid w:val="006A1D77"/>
    <w:rsid w:val="006A5A0B"/>
    <w:rsid w:val="006C4137"/>
    <w:rsid w:val="006C5F9F"/>
    <w:rsid w:val="006D00BE"/>
    <w:rsid w:val="006D451D"/>
    <w:rsid w:val="006D7C02"/>
    <w:rsid w:val="00700263"/>
    <w:rsid w:val="0070512C"/>
    <w:rsid w:val="00707D1D"/>
    <w:rsid w:val="00711EBE"/>
    <w:rsid w:val="0071424C"/>
    <w:rsid w:val="00715E8B"/>
    <w:rsid w:val="00722744"/>
    <w:rsid w:val="007535A8"/>
    <w:rsid w:val="00762E91"/>
    <w:rsid w:val="00770758"/>
    <w:rsid w:val="0077177B"/>
    <w:rsid w:val="00784A7D"/>
    <w:rsid w:val="00793F6E"/>
    <w:rsid w:val="007B4005"/>
    <w:rsid w:val="007C2F6D"/>
    <w:rsid w:val="007E01D7"/>
    <w:rsid w:val="007E65EC"/>
    <w:rsid w:val="00820D0E"/>
    <w:rsid w:val="00821259"/>
    <w:rsid w:val="00844785"/>
    <w:rsid w:val="00852AD4"/>
    <w:rsid w:val="008660DC"/>
    <w:rsid w:val="008767F7"/>
    <w:rsid w:val="008855AA"/>
    <w:rsid w:val="0089359E"/>
    <w:rsid w:val="008C5126"/>
    <w:rsid w:val="008D6F73"/>
    <w:rsid w:val="008E0B74"/>
    <w:rsid w:val="008E7C17"/>
    <w:rsid w:val="008F0413"/>
    <w:rsid w:val="008F723D"/>
    <w:rsid w:val="0091301A"/>
    <w:rsid w:val="009224CE"/>
    <w:rsid w:val="00923000"/>
    <w:rsid w:val="00927987"/>
    <w:rsid w:val="00931EEA"/>
    <w:rsid w:val="0094697E"/>
    <w:rsid w:val="009558AB"/>
    <w:rsid w:val="009661C3"/>
    <w:rsid w:val="00972F2A"/>
    <w:rsid w:val="00990BB5"/>
    <w:rsid w:val="009A10FD"/>
    <w:rsid w:val="009A69F7"/>
    <w:rsid w:val="009C659D"/>
    <w:rsid w:val="009D5616"/>
    <w:rsid w:val="009E1F4F"/>
    <w:rsid w:val="009F2AA7"/>
    <w:rsid w:val="00A03C29"/>
    <w:rsid w:val="00A076BD"/>
    <w:rsid w:val="00A2367A"/>
    <w:rsid w:val="00A25FBD"/>
    <w:rsid w:val="00A2661F"/>
    <w:rsid w:val="00A3517D"/>
    <w:rsid w:val="00A42A34"/>
    <w:rsid w:val="00A55C2C"/>
    <w:rsid w:val="00A755DC"/>
    <w:rsid w:val="00A92BBF"/>
    <w:rsid w:val="00A94479"/>
    <w:rsid w:val="00A97C10"/>
    <w:rsid w:val="00AB1FC3"/>
    <w:rsid w:val="00AB4C8A"/>
    <w:rsid w:val="00AC2FB0"/>
    <w:rsid w:val="00AE0CD0"/>
    <w:rsid w:val="00AF346D"/>
    <w:rsid w:val="00AF70C9"/>
    <w:rsid w:val="00B00FE2"/>
    <w:rsid w:val="00B059AF"/>
    <w:rsid w:val="00B54C28"/>
    <w:rsid w:val="00B552AB"/>
    <w:rsid w:val="00B7405F"/>
    <w:rsid w:val="00B91939"/>
    <w:rsid w:val="00B93FF8"/>
    <w:rsid w:val="00BB043E"/>
    <w:rsid w:val="00BB7F31"/>
    <w:rsid w:val="00BD4FA4"/>
    <w:rsid w:val="00BE2709"/>
    <w:rsid w:val="00C10842"/>
    <w:rsid w:val="00C2758A"/>
    <w:rsid w:val="00C32B33"/>
    <w:rsid w:val="00C414E4"/>
    <w:rsid w:val="00C43684"/>
    <w:rsid w:val="00C61191"/>
    <w:rsid w:val="00C80130"/>
    <w:rsid w:val="00C83417"/>
    <w:rsid w:val="00C970FF"/>
    <w:rsid w:val="00CA0A96"/>
    <w:rsid w:val="00CC44EC"/>
    <w:rsid w:val="00CE3252"/>
    <w:rsid w:val="00CE5D5F"/>
    <w:rsid w:val="00CF292E"/>
    <w:rsid w:val="00CF49AD"/>
    <w:rsid w:val="00CF5D8E"/>
    <w:rsid w:val="00D050BA"/>
    <w:rsid w:val="00D203F6"/>
    <w:rsid w:val="00D24869"/>
    <w:rsid w:val="00D26924"/>
    <w:rsid w:val="00D36837"/>
    <w:rsid w:val="00D5099A"/>
    <w:rsid w:val="00D5573E"/>
    <w:rsid w:val="00D561D4"/>
    <w:rsid w:val="00D66DB6"/>
    <w:rsid w:val="00DA314B"/>
    <w:rsid w:val="00DB718C"/>
    <w:rsid w:val="00DE6D8C"/>
    <w:rsid w:val="00DF0BA0"/>
    <w:rsid w:val="00E06195"/>
    <w:rsid w:val="00E12BB9"/>
    <w:rsid w:val="00E42552"/>
    <w:rsid w:val="00E427AF"/>
    <w:rsid w:val="00E44425"/>
    <w:rsid w:val="00E47AE1"/>
    <w:rsid w:val="00E47E43"/>
    <w:rsid w:val="00E50DD5"/>
    <w:rsid w:val="00E6063E"/>
    <w:rsid w:val="00E6084F"/>
    <w:rsid w:val="00E71C90"/>
    <w:rsid w:val="00E76E7E"/>
    <w:rsid w:val="00E77A67"/>
    <w:rsid w:val="00E92EDD"/>
    <w:rsid w:val="00E95F38"/>
    <w:rsid w:val="00E96904"/>
    <w:rsid w:val="00EA3E94"/>
    <w:rsid w:val="00EA7AF8"/>
    <w:rsid w:val="00EB553A"/>
    <w:rsid w:val="00EB76E8"/>
    <w:rsid w:val="00F0089D"/>
    <w:rsid w:val="00F06F4A"/>
    <w:rsid w:val="00F108BD"/>
    <w:rsid w:val="00F20990"/>
    <w:rsid w:val="00F22ED5"/>
    <w:rsid w:val="00F248FD"/>
    <w:rsid w:val="00F25E57"/>
    <w:rsid w:val="00F30F79"/>
    <w:rsid w:val="00F4008C"/>
    <w:rsid w:val="00F55774"/>
    <w:rsid w:val="00F64BCF"/>
    <w:rsid w:val="00F700D3"/>
    <w:rsid w:val="00F777F7"/>
    <w:rsid w:val="00FA09DF"/>
    <w:rsid w:val="00FA426E"/>
    <w:rsid w:val="00FD18C7"/>
    <w:rsid w:val="00FE0614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C1F635"/>
  <w15:chartTrackingRefBased/>
  <w15:docId w15:val="{39F19401-DED2-4BA6-BAC5-024CC07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6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C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7D"/>
  </w:style>
  <w:style w:type="paragraph" w:styleId="Footer">
    <w:name w:val="footer"/>
    <w:basedOn w:val="Normal"/>
    <w:link w:val="FooterChar"/>
    <w:uiPriority w:val="99"/>
    <w:unhideWhenUsed/>
    <w:rsid w:val="0078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7D"/>
  </w:style>
  <w:style w:type="character" w:customStyle="1" w:styleId="oneclick-link">
    <w:name w:val="oneclick-link"/>
    <w:basedOn w:val="DefaultParagraphFont"/>
    <w:rsid w:val="00E6063E"/>
  </w:style>
  <w:style w:type="character" w:styleId="Emphasis">
    <w:name w:val="Emphasis"/>
    <w:basedOn w:val="DefaultParagraphFont"/>
    <w:uiPriority w:val="20"/>
    <w:qFormat/>
    <w:rsid w:val="00E427A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4478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E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3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D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8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folk.gov/index.aspx?NID=4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powerbigov.us/view?r=eyJrIjoiNzIxM2EzNDctMTY3OC00YzQwLWJhYzctYjJiZjEzZmU0YzAyIiwidCI6IjUzODZkMzU1LTJmYWUtNGZlOC05MTc0LWI4OWU0MDhiYTk5MSJ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ily.Uselton@norfolk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eNFORCeMENNORFOT</dc:creator>
  <cp:keywords/>
  <dc:description/>
  <cp:lastModifiedBy>Larsen, Carl</cp:lastModifiedBy>
  <cp:revision>4</cp:revision>
  <cp:lastPrinted>2020-03-06T20:13:00Z</cp:lastPrinted>
  <dcterms:created xsi:type="dcterms:W3CDTF">2022-01-12T20:17:00Z</dcterms:created>
  <dcterms:modified xsi:type="dcterms:W3CDTF">2022-10-11T20:40:00Z</dcterms:modified>
</cp:coreProperties>
</file>