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26 June 2025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Cambria" w:cs="Cambria" w:eastAsia="Cambria" w:hAnsi="Cambria"/>
          <w:i w:val="0"/>
          <w:smallCaps w:val="0"/>
          <w:color w:val="222222"/>
          <w:sz w:val="22"/>
          <w:szCs w:val="22"/>
          <w:highlight w:val="white"/>
          <w:rtl w:val="0"/>
        </w:rPr>
        <w:t xml:space="preserve">LTVIP2025TMID</w:t>
      </w:r>
      <w:r w:rsidDel="00000000" w:rsidR="00000000" w:rsidRPr="00000000">
        <w:rPr>
          <w:color w:val="222222"/>
          <w:highlight w:val="white"/>
          <w:rtl w:val="0"/>
        </w:rPr>
        <w:t xml:space="preserve">32047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luxlfg4t85r0" w:id="0"/>
      <w:bookmarkEnd w:id="0"/>
      <w:r w:rsidDel="00000000" w:rsidR="00000000" w:rsidRPr="00000000">
        <w:rPr>
          <w:rtl w:val="0"/>
        </w:rPr>
        <w:t xml:space="preserve">Project Name: HealthAI: Intelligent Healthcare Assistant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Maximum Marks: 2 Marks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Table-1: Components &amp; Technologies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interacts via a web-based SPA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HTML, CSS, JavaScript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Logic for chat, prediction, treatment, tips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(FastAPI)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Generates AI responses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IBM Watson Machine Learning (Granite 13B)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Logic-3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session data only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In-memory (local/session)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Planned for future enhancements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Planned: IBM Cloudant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Storage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.env and static files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Filesystem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Granite model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IBM Watson Machine Learning API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 API-2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used in current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Machine Learning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Prediction, response, treatment generation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IBM Granite 13B Instruct v2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Hosted locally; future cloud-ready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FastAPI + Uvicorn / IBM Cloud Foundry</w:t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Table-2: Application Characteristics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Characteristics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/ Technology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FastAPI, Python, Chart.js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python-dotenv, .env handling, secure API calls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Scalable Architecture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3-Tier: UI – FastAPI – IBM AI Layer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Deployed locally; can be moved to IBM Cloud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Asynchronous FastAPI routing, optimized IBM API usage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