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E25F6" w14:textId="77777777" w:rsidR="007B2A66" w:rsidRPr="007B2A66" w:rsidRDefault="007B2A66" w:rsidP="007B2A66">
      <w:pPr>
        <w:jc w:val="center"/>
        <w:rPr>
          <w:b/>
          <w:bCs/>
          <w:sz w:val="44"/>
          <w:szCs w:val="44"/>
        </w:rPr>
      </w:pPr>
      <w:r w:rsidRPr="007B2A66">
        <w:rPr>
          <w:b/>
          <w:bCs/>
          <w:sz w:val="44"/>
          <w:szCs w:val="44"/>
        </w:rPr>
        <w:t>Compliance Strategy Document</w:t>
      </w:r>
    </w:p>
    <w:p w14:paraId="1D8A5FF1" w14:textId="77777777" w:rsidR="007B2A66" w:rsidRPr="007B2A66" w:rsidRDefault="007B2A66" w:rsidP="007B2A66">
      <w:pPr>
        <w:rPr>
          <w:b/>
          <w:bCs/>
          <w:sz w:val="36"/>
          <w:szCs w:val="36"/>
        </w:rPr>
      </w:pPr>
    </w:p>
    <w:p w14:paraId="42532103" w14:textId="452452D4" w:rsidR="007B2A66" w:rsidRPr="007B2A66" w:rsidRDefault="007B2A66" w:rsidP="007B2A66">
      <w:pPr>
        <w:rPr>
          <w:b/>
          <w:bCs/>
          <w:sz w:val="32"/>
          <w:szCs w:val="32"/>
        </w:rPr>
      </w:pPr>
      <w:r w:rsidRPr="007B2A66">
        <w:rPr>
          <w:b/>
          <w:bCs/>
          <w:sz w:val="32"/>
          <w:szCs w:val="32"/>
        </w:rPr>
        <w:t>1. Introduction</w:t>
      </w:r>
    </w:p>
    <w:p w14:paraId="0A265758" w14:textId="77777777" w:rsidR="007B2A66" w:rsidRPr="007B2A66" w:rsidRDefault="007B2A66" w:rsidP="007B2A66">
      <w:r w:rsidRPr="007B2A66">
        <w:t>This Compliance Strategy Document establishes the regulatory compliance, data protection policies, and compliance mechanisms to ensure adherence to industry standards and legal requirements.</w:t>
      </w:r>
    </w:p>
    <w:p w14:paraId="7BF189FB" w14:textId="77777777" w:rsidR="007B2A66" w:rsidRPr="007B2A66" w:rsidRDefault="007B2A66" w:rsidP="007B2A66">
      <w:pPr>
        <w:rPr>
          <w:b/>
          <w:bCs/>
          <w:sz w:val="32"/>
          <w:szCs w:val="32"/>
        </w:rPr>
      </w:pPr>
      <w:r w:rsidRPr="007B2A66">
        <w:rPr>
          <w:b/>
          <w:bCs/>
          <w:sz w:val="32"/>
          <w:szCs w:val="32"/>
        </w:rPr>
        <w:t>2. Regulatory Compliance</w:t>
      </w:r>
    </w:p>
    <w:p w14:paraId="7C47592B" w14:textId="77777777" w:rsidR="007B2A66" w:rsidRPr="007B2A66" w:rsidRDefault="007B2A66" w:rsidP="007B2A66">
      <w:r w:rsidRPr="007B2A66">
        <w:t>The organization adheres to the following banking and financial regulations:</w:t>
      </w:r>
    </w:p>
    <w:p w14:paraId="5834B18B" w14:textId="77777777" w:rsidR="007B2A66" w:rsidRPr="007B2A66" w:rsidRDefault="007B2A66" w:rsidP="007B2A66">
      <w:pPr>
        <w:rPr>
          <w:b/>
          <w:bCs/>
        </w:rPr>
      </w:pPr>
      <w:r w:rsidRPr="007B2A66">
        <w:rPr>
          <w:b/>
          <w:bCs/>
        </w:rPr>
        <w:t>2.1 Banking Regulations</w:t>
      </w:r>
    </w:p>
    <w:p w14:paraId="788C0320" w14:textId="77777777" w:rsidR="007B2A66" w:rsidRPr="007B2A66" w:rsidRDefault="007B2A66" w:rsidP="007B2A66">
      <w:pPr>
        <w:numPr>
          <w:ilvl w:val="0"/>
          <w:numId w:val="1"/>
        </w:numPr>
      </w:pPr>
      <w:r w:rsidRPr="007B2A66">
        <w:rPr>
          <w:b/>
          <w:bCs/>
        </w:rPr>
        <w:t>Basel III Compliance</w:t>
      </w:r>
      <w:r w:rsidRPr="007B2A66">
        <w:t>: Ensures capital adequacy, risk management, and stress testing.</w:t>
      </w:r>
    </w:p>
    <w:p w14:paraId="2E60D677" w14:textId="77777777" w:rsidR="007B2A66" w:rsidRPr="007B2A66" w:rsidRDefault="007B2A66" w:rsidP="007B2A66">
      <w:pPr>
        <w:numPr>
          <w:ilvl w:val="0"/>
          <w:numId w:val="1"/>
        </w:numPr>
      </w:pPr>
      <w:r w:rsidRPr="007B2A66">
        <w:rPr>
          <w:b/>
          <w:bCs/>
        </w:rPr>
        <w:t>Anti-Money Laundering (AML) Guidelines</w:t>
      </w:r>
      <w:r w:rsidRPr="007B2A66">
        <w:t>: Implements due diligence, transaction monitoring, and suspicious activity reporting.</w:t>
      </w:r>
    </w:p>
    <w:p w14:paraId="5410662D" w14:textId="77777777" w:rsidR="007B2A66" w:rsidRPr="007B2A66" w:rsidRDefault="007B2A66" w:rsidP="007B2A66">
      <w:pPr>
        <w:numPr>
          <w:ilvl w:val="0"/>
          <w:numId w:val="1"/>
        </w:numPr>
      </w:pPr>
      <w:r w:rsidRPr="007B2A66">
        <w:rPr>
          <w:b/>
          <w:bCs/>
        </w:rPr>
        <w:t>Know Your Customer (KYC) Regulations</w:t>
      </w:r>
      <w:r w:rsidRPr="007B2A66">
        <w:t>: Enforces identity verification and risk assessment for customer onboarding.</w:t>
      </w:r>
    </w:p>
    <w:p w14:paraId="142CA91D" w14:textId="77777777" w:rsidR="007B2A66" w:rsidRPr="007B2A66" w:rsidRDefault="007B2A66" w:rsidP="007B2A66">
      <w:pPr>
        <w:rPr>
          <w:b/>
          <w:bCs/>
        </w:rPr>
      </w:pPr>
      <w:r w:rsidRPr="007B2A66">
        <w:rPr>
          <w:b/>
          <w:bCs/>
        </w:rPr>
        <w:t>2.2 Data Protection Regulations</w:t>
      </w:r>
    </w:p>
    <w:p w14:paraId="10606C12" w14:textId="77777777" w:rsidR="007B2A66" w:rsidRPr="007B2A66" w:rsidRDefault="007B2A66" w:rsidP="007B2A66">
      <w:pPr>
        <w:numPr>
          <w:ilvl w:val="0"/>
          <w:numId w:val="2"/>
        </w:numPr>
      </w:pPr>
      <w:r w:rsidRPr="007B2A66">
        <w:rPr>
          <w:b/>
          <w:bCs/>
        </w:rPr>
        <w:t>General Data Protection Regulation (GDPR - European Union)</w:t>
      </w:r>
      <w:r w:rsidRPr="007B2A66">
        <w:t>: Protects customer data, ensures data subject rights, and mandates breach reporting.</w:t>
      </w:r>
    </w:p>
    <w:p w14:paraId="5E1E9A4C" w14:textId="77777777" w:rsidR="007B2A66" w:rsidRPr="007B2A66" w:rsidRDefault="007B2A66" w:rsidP="007B2A66">
      <w:pPr>
        <w:numPr>
          <w:ilvl w:val="0"/>
          <w:numId w:val="2"/>
        </w:numPr>
      </w:pPr>
      <w:r w:rsidRPr="007B2A66">
        <w:rPr>
          <w:b/>
          <w:bCs/>
        </w:rPr>
        <w:t>California Consumer Privacy Act (CCPA - California, USA)</w:t>
      </w:r>
      <w:r w:rsidRPr="007B2A66">
        <w:t>: Grants consumers rights over personal data collection, processing, and sharing.</w:t>
      </w:r>
    </w:p>
    <w:p w14:paraId="57123272" w14:textId="77777777" w:rsidR="007B2A66" w:rsidRPr="007B2A66" w:rsidRDefault="007B2A66" w:rsidP="007B2A66">
      <w:pPr>
        <w:numPr>
          <w:ilvl w:val="0"/>
          <w:numId w:val="2"/>
        </w:numPr>
      </w:pPr>
      <w:r w:rsidRPr="007B2A66">
        <w:rPr>
          <w:b/>
          <w:bCs/>
        </w:rPr>
        <w:t>Local Banking Regulatory Compliance</w:t>
      </w:r>
      <w:r w:rsidRPr="007B2A66">
        <w:t>: Adheres to region-specific banking and financial data protection laws.</w:t>
      </w:r>
    </w:p>
    <w:p w14:paraId="70261B46" w14:textId="77777777" w:rsidR="007B2A66" w:rsidRPr="007B2A66" w:rsidRDefault="007B2A66" w:rsidP="007B2A66">
      <w:pPr>
        <w:rPr>
          <w:b/>
          <w:bCs/>
          <w:sz w:val="32"/>
          <w:szCs w:val="32"/>
        </w:rPr>
      </w:pPr>
      <w:r w:rsidRPr="007B2A66">
        <w:rPr>
          <w:b/>
          <w:bCs/>
          <w:sz w:val="32"/>
          <w:szCs w:val="32"/>
        </w:rPr>
        <w:t>3. Compliance Mechanisms</w:t>
      </w:r>
    </w:p>
    <w:p w14:paraId="00F140CC" w14:textId="77777777" w:rsidR="007B2A66" w:rsidRPr="007B2A66" w:rsidRDefault="007B2A66" w:rsidP="007B2A66">
      <w:r w:rsidRPr="007B2A66">
        <w:t>The organization employs robust compliance mechanisms to ensure continuous adherence to regulatory requirements.</w:t>
      </w:r>
    </w:p>
    <w:p w14:paraId="424F8908" w14:textId="77777777" w:rsidR="007B2A66" w:rsidRPr="007B2A66" w:rsidRDefault="007B2A66" w:rsidP="007B2A66">
      <w:pPr>
        <w:rPr>
          <w:b/>
          <w:bCs/>
        </w:rPr>
      </w:pPr>
      <w:r w:rsidRPr="007B2A66">
        <w:rPr>
          <w:b/>
          <w:bCs/>
        </w:rPr>
        <w:t>3.1 Automated Transaction Monitoring</w:t>
      </w:r>
    </w:p>
    <w:p w14:paraId="0048D738" w14:textId="77777777" w:rsidR="007B2A66" w:rsidRPr="007B2A66" w:rsidRDefault="007B2A66" w:rsidP="007B2A66">
      <w:pPr>
        <w:numPr>
          <w:ilvl w:val="0"/>
          <w:numId w:val="3"/>
        </w:numPr>
      </w:pPr>
      <w:r w:rsidRPr="007B2A66">
        <w:t>AI-driven tools monitor transactions in real-time for anomalies.</w:t>
      </w:r>
    </w:p>
    <w:p w14:paraId="05754016" w14:textId="77777777" w:rsidR="007B2A66" w:rsidRPr="007B2A66" w:rsidRDefault="007B2A66" w:rsidP="007B2A66">
      <w:pPr>
        <w:numPr>
          <w:ilvl w:val="0"/>
          <w:numId w:val="3"/>
        </w:numPr>
      </w:pPr>
      <w:r w:rsidRPr="007B2A66">
        <w:t>Flagging of high-risk transactions based on predefined rules and patterns.</w:t>
      </w:r>
    </w:p>
    <w:p w14:paraId="7E283D11" w14:textId="77777777" w:rsidR="007B2A66" w:rsidRPr="007B2A66" w:rsidRDefault="007B2A66" w:rsidP="007B2A66">
      <w:pPr>
        <w:rPr>
          <w:b/>
          <w:bCs/>
        </w:rPr>
      </w:pPr>
      <w:r w:rsidRPr="007B2A66">
        <w:rPr>
          <w:b/>
          <w:bCs/>
        </w:rPr>
        <w:t>3.2 Suspicious Activity Reporting (SAR)</w:t>
      </w:r>
    </w:p>
    <w:p w14:paraId="68BBC2C6" w14:textId="77777777" w:rsidR="007B2A66" w:rsidRPr="007B2A66" w:rsidRDefault="007B2A66" w:rsidP="007B2A66">
      <w:pPr>
        <w:numPr>
          <w:ilvl w:val="0"/>
          <w:numId w:val="4"/>
        </w:numPr>
      </w:pPr>
      <w:r w:rsidRPr="007B2A66">
        <w:t>Automatic alerts for transactions exceeding regulatory thresholds.</w:t>
      </w:r>
    </w:p>
    <w:p w14:paraId="062C1AE6" w14:textId="77777777" w:rsidR="007B2A66" w:rsidRPr="007B2A66" w:rsidRDefault="007B2A66" w:rsidP="007B2A66">
      <w:pPr>
        <w:numPr>
          <w:ilvl w:val="0"/>
          <w:numId w:val="4"/>
        </w:numPr>
      </w:pPr>
      <w:r w:rsidRPr="007B2A66">
        <w:lastRenderedPageBreak/>
        <w:t>Mandatory filing of SAR reports to regulatory bodies.</w:t>
      </w:r>
    </w:p>
    <w:p w14:paraId="65108B6C" w14:textId="77777777" w:rsidR="007B2A66" w:rsidRPr="007B2A66" w:rsidRDefault="007B2A66" w:rsidP="007B2A66">
      <w:pPr>
        <w:rPr>
          <w:b/>
          <w:bCs/>
        </w:rPr>
      </w:pPr>
      <w:r w:rsidRPr="007B2A66">
        <w:rPr>
          <w:b/>
          <w:bCs/>
        </w:rPr>
        <w:t>3.3 Regular Audits</w:t>
      </w:r>
    </w:p>
    <w:p w14:paraId="46C18BF8" w14:textId="77777777" w:rsidR="007B2A66" w:rsidRPr="007B2A66" w:rsidRDefault="007B2A66" w:rsidP="007B2A66">
      <w:pPr>
        <w:numPr>
          <w:ilvl w:val="0"/>
          <w:numId w:val="5"/>
        </w:numPr>
      </w:pPr>
      <w:r w:rsidRPr="007B2A66">
        <w:rPr>
          <w:b/>
          <w:bCs/>
        </w:rPr>
        <w:t>Internal Audits</w:t>
      </w:r>
      <w:r w:rsidRPr="007B2A66">
        <w:t>: Quarterly assessments by internal compliance teams.</w:t>
      </w:r>
    </w:p>
    <w:p w14:paraId="0A238BDA" w14:textId="77777777" w:rsidR="007B2A66" w:rsidRPr="007B2A66" w:rsidRDefault="007B2A66" w:rsidP="007B2A66">
      <w:pPr>
        <w:numPr>
          <w:ilvl w:val="0"/>
          <w:numId w:val="5"/>
        </w:numPr>
      </w:pPr>
      <w:r w:rsidRPr="007B2A66">
        <w:rPr>
          <w:b/>
          <w:bCs/>
        </w:rPr>
        <w:t>External Audits</w:t>
      </w:r>
      <w:r w:rsidRPr="007B2A66">
        <w:t>: Annual audits conducted by independent third-party firms.</w:t>
      </w:r>
    </w:p>
    <w:p w14:paraId="10B8ED1C" w14:textId="77777777" w:rsidR="007B2A66" w:rsidRPr="007B2A66" w:rsidRDefault="007B2A66" w:rsidP="007B2A66">
      <w:pPr>
        <w:numPr>
          <w:ilvl w:val="0"/>
          <w:numId w:val="5"/>
        </w:numPr>
      </w:pPr>
      <w:r w:rsidRPr="007B2A66">
        <w:rPr>
          <w:b/>
          <w:bCs/>
        </w:rPr>
        <w:t>Risk Assessments</w:t>
      </w:r>
      <w:r w:rsidRPr="007B2A66">
        <w:t>: Periodic evaluation of financial and cybersecurity risks.</w:t>
      </w:r>
    </w:p>
    <w:p w14:paraId="216D0684" w14:textId="77777777" w:rsidR="007B2A66" w:rsidRPr="007B2A66" w:rsidRDefault="007B2A66" w:rsidP="007B2A66">
      <w:pPr>
        <w:rPr>
          <w:b/>
          <w:bCs/>
        </w:rPr>
      </w:pPr>
      <w:r w:rsidRPr="007B2A66">
        <w:rPr>
          <w:b/>
          <w:bCs/>
        </w:rPr>
        <w:t>3.4 Documentation and Compliance Processes</w:t>
      </w:r>
    </w:p>
    <w:p w14:paraId="6E9FCA65" w14:textId="77777777" w:rsidR="007B2A66" w:rsidRPr="007B2A66" w:rsidRDefault="007B2A66" w:rsidP="007B2A66">
      <w:pPr>
        <w:numPr>
          <w:ilvl w:val="0"/>
          <w:numId w:val="6"/>
        </w:numPr>
      </w:pPr>
      <w:r w:rsidRPr="007B2A66">
        <w:t>Maintenance of comprehensive records of compliance actions and reviews.</w:t>
      </w:r>
    </w:p>
    <w:p w14:paraId="032479BC" w14:textId="77777777" w:rsidR="007B2A66" w:rsidRPr="007B2A66" w:rsidRDefault="007B2A66" w:rsidP="007B2A66">
      <w:pPr>
        <w:numPr>
          <w:ilvl w:val="0"/>
          <w:numId w:val="6"/>
        </w:numPr>
      </w:pPr>
      <w:r w:rsidRPr="007B2A66">
        <w:t>Policy updates based on regulatory changes.</w:t>
      </w:r>
    </w:p>
    <w:p w14:paraId="295ECA49" w14:textId="77777777" w:rsidR="007B2A66" w:rsidRPr="007B2A66" w:rsidRDefault="007B2A66" w:rsidP="007B2A66">
      <w:pPr>
        <w:numPr>
          <w:ilvl w:val="0"/>
          <w:numId w:val="6"/>
        </w:numPr>
      </w:pPr>
      <w:r w:rsidRPr="007B2A66">
        <w:t>Employee training and awareness programs on compliance obligations.</w:t>
      </w:r>
    </w:p>
    <w:p w14:paraId="348313B6" w14:textId="77777777" w:rsidR="007B2A66" w:rsidRPr="007B2A66" w:rsidRDefault="007B2A66" w:rsidP="007B2A66">
      <w:pPr>
        <w:rPr>
          <w:b/>
          <w:bCs/>
          <w:sz w:val="32"/>
          <w:szCs w:val="32"/>
        </w:rPr>
      </w:pPr>
      <w:r w:rsidRPr="007B2A66">
        <w:rPr>
          <w:b/>
          <w:bCs/>
          <w:sz w:val="32"/>
          <w:szCs w:val="32"/>
        </w:rPr>
        <w:t>4. Conclusion</w:t>
      </w:r>
    </w:p>
    <w:p w14:paraId="2397F8A6" w14:textId="77777777" w:rsidR="007B2A66" w:rsidRPr="007B2A66" w:rsidRDefault="007B2A66" w:rsidP="007B2A66">
      <w:r w:rsidRPr="007B2A66">
        <w:t>This compliance strategy ensures adherence to banking regulations, data protection laws, and effective risk management through structured compliance mechanisms. Continuous monitoring, auditing, and documentation support an organizational culture of compliance and accountability.</w:t>
      </w:r>
    </w:p>
    <w:p w14:paraId="4060868E" w14:textId="77777777" w:rsidR="007B2A66" w:rsidRPr="007B2A66" w:rsidRDefault="007B2A66" w:rsidP="007B2A66"/>
    <w:sectPr w:rsidR="007B2A66" w:rsidRPr="007B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E17C7"/>
    <w:multiLevelType w:val="multilevel"/>
    <w:tmpl w:val="B35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D722C"/>
    <w:multiLevelType w:val="multilevel"/>
    <w:tmpl w:val="A3F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06B3C"/>
    <w:multiLevelType w:val="multilevel"/>
    <w:tmpl w:val="505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F4DCC"/>
    <w:multiLevelType w:val="multilevel"/>
    <w:tmpl w:val="9ED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F626E"/>
    <w:multiLevelType w:val="multilevel"/>
    <w:tmpl w:val="C1D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707"/>
    <w:multiLevelType w:val="multilevel"/>
    <w:tmpl w:val="1C1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469458">
    <w:abstractNumId w:val="2"/>
  </w:num>
  <w:num w:numId="2" w16cid:durableId="644090652">
    <w:abstractNumId w:val="0"/>
  </w:num>
  <w:num w:numId="3" w16cid:durableId="89356370">
    <w:abstractNumId w:val="4"/>
  </w:num>
  <w:num w:numId="4" w16cid:durableId="379478092">
    <w:abstractNumId w:val="1"/>
  </w:num>
  <w:num w:numId="5" w16cid:durableId="1550142006">
    <w:abstractNumId w:val="5"/>
  </w:num>
  <w:num w:numId="6" w16cid:durableId="1906406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66"/>
    <w:rsid w:val="007B2A66"/>
    <w:rsid w:val="00EA5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5232"/>
  <w15:chartTrackingRefBased/>
  <w15:docId w15:val="{D68938E5-C804-45D2-9F41-88B99582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A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A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A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A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A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A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A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A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66"/>
    <w:rPr>
      <w:rFonts w:eastAsiaTheme="majorEastAsia" w:cstheme="majorBidi"/>
      <w:color w:val="272727" w:themeColor="text1" w:themeTint="D8"/>
    </w:rPr>
  </w:style>
  <w:style w:type="paragraph" w:styleId="Title">
    <w:name w:val="Title"/>
    <w:basedOn w:val="Normal"/>
    <w:next w:val="Normal"/>
    <w:link w:val="TitleChar"/>
    <w:uiPriority w:val="10"/>
    <w:qFormat/>
    <w:rsid w:val="007B2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66"/>
    <w:pPr>
      <w:spacing w:before="160"/>
      <w:jc w:val="center"/>
    </w:pPr>
    <w:rPr>
      <w:i/>
      <w:iCs/>
      <w:color w:val="404040" w:themeColor="text1" w:themeTint="BF"/>
    </w:rPr>
  </w:style>
  <w:style w:type="character" w:customStyle="1" w:styleId="QuoteChar">
    <w:name w:val="Quote Char"/>
    <w:basedOn w:val="DefaultParagraphFont"/>
    <w:link w:val="Quote"/>
    <w:uiPriority w:val="29"/>
    <w:rsid w:val="007B2A66"/>
    <w:rPr>
      <w:i/>
      <w:iCs/>
      <w:color w:val="404040" w:themeColor="text1" w:themeTint="BF"/>
    </w:rPr>
  </w:style>
  <w:style w:type="paragraph" w:styleId="ListParagraph">
    <w:name w:val="List Paragraph"/>
    <w:basedOn w:val="Normal"/>
    <w:uiPriority w:val="34"/>
    <w:qFormat/>
    <w:rsid w:val="007B2A66"/>
    <w:pPr>
      <w:ind w:left="720"/>
      <w:contextualSpacing/>
    </w:pPr>
  </w:style>
  <w:style w:type="character" w:styleId="IntenseEmphasis">
    <w:name w:val="Intense Emphasis"/>
    <w:basedOn w:val="DefaultParagraphFont"/>
    <w:uiPriority w:val="21"/>
    <w:qFormat/>
    <w:rsid w:val="007B2A66"/>
    <w:rPr>
      <w:i/>
      <w:iCs/>
      <w:color w:val="2F5496" w:themeColor="accent1" w:themeShade="BF"/>
    </w:rPr>
  </w:style>
  <w:style w:type="paragraph" w:styleId="IntenseQuote">
    <w:name w:val="Intense Quote"/>
    <w:basedOn w:val="Normal"/>
    <w:next w:val="Normal"/>
    <w:link w:val="IntenseQuoteChar"/>
    <w:uiPriority w:val="30"/>
    <w:qFormat/>
    <w:rsid w:val="007B2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A66"/>
    <w:rPr>
      <w:i/>
      <w:iCs/>
      <w:color w:val="2F5496" w:themeColor="accent1" w:themeShade="BF"/>
    </w:rPr>
  </w:style>
  <w:style w:type="character" w:styleId="IntenseReference">
    <w:name w:val="Intense Reference"/>
    <w:basedOn w:val="DefaultParagraphFont"/>
    <w:uiPriority w:val="32"/>
    <w:qFormat/>
    <w:rsid w:val="007B2A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340587">
      <w:bodyDiv w:val="1"/>
      <w:marLeft w:val="0"/>
      <w:marRight w:val="0"/>
      <w:marTop w:val="0"/>
      <w:marBottom w:val="0"/>
      <w:divBdr>
        <w:top w:val="none" w:sz="0" w:space="0" w:color="auto"/>
        <w:left w:val="none" w:sz="0" w:space="0" w:color="auto"/>
        <w:bottom w:val="none" w:sz="0" w:space="0" w:color="auto"/>
        <w:right w:val="none" w:sz="0" w:space="0" w:color="auto"/>
      </w:divBdr>
    </w:div>
    <w:div w:id="15399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gopiga yuvaraj</dc:creator>
  <cp:keywords/>
  <dc:description/>
  <cp:lastModifiedBy>gopiga yuvaraj</cp:lastModifiedBy>
  <cp:revision>1</cp:revision>
  <dcterms:created xsi:type="dcterms:W3CDTF">2025-03-31T06:26:00Z</dcterms:created>
  <dcterms:modified xsi:type="dcterms:W3CDTF">2025-03-31T06:30:00Z</dcterms:modified>
</cp:coreProperties>
</file>