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48"/>
        </w:rPr>
        <w:t>TraceGuard: Complete Technical Documentation</w:t>
      </w:r>
    </w:p>
    <w:p>
      <w:pPr>
        <w:spacing w:after="400"/>
        <w:jc w:val="center"/>
      </w:pPr>
      <w:r>
        <w:rPr>
          <w:rFonts w:ascii="Calibri" w:hAnsi="Calibri"/>
          <w:i/>
          <w:color w:val="595959"/>
          <w:sz w:val="28"/>
        </w:rPr>
        <w:t>Enterprise AI Governance &amp; Decision Path Auditor (PS-7.1)</w:t>
      </w:r>
    </w:p>
    <w:p>
      <w:pPr>
        <w:spacing w:after="320"/>
      </w:pPr>
      <w:r>
        <w:rPr>
          <w:b/>
        </w:rPr>
        <w:t xml:space="preserve">Developer: </w:t>
      </w:r>
      <w:r>
        <w:t>Individual Project Submission</w:t>
        <w:br/>
      </w:r>
      <w:r>
        <w:rPr>
          <w:b/>
        </w:rPr>
        <w:t xml:space="preserve">Problem Statement: </w:t>
      </w:r>
      <w:r>
        <w:t>PS-7.1 (Unit 7: Audit Trails &amp; Explainability)</w:t>
        <w:br/>
      </w:r>
      <w:r>
        <w:rPr>
          <w:b/>
        </w:rPr>
        <w:t xml:space="preserve">Repository: </w:t>
      </w:r>
      <w:r>
        <w:t>https://github.com/GopikaArumugam/TraceGuard</w:t>
        <w:br/>
      </w:r>
      <w:r>
        <w:rPr>
          <w:b/>
        </w:rPr>
        <w:t xml:space="preserve">Live AWS URL: </w:t>
      </w:r>
      <w:r>
        <w:t>http://13.49.68.207</w:t>
      </w:r>
    </w:p>
    <w:p>
      <w:pPr>
        <w:spacing w:before="320" w:after="120"/>
      </w:pPr>
      <w:r>
        <w:rPr>
          <w:rFonts w:ascii="Calibri" w:hAnsi="Calibri"/>
          <w:b/>
          <w:color w:val="1F4E79"/>
          <w:sz w:val="36"/>
        </w:rPr>
        <w:t>1. System Overview &amp; Objectives</w:t>
      </w:r>
    </w:p>
    <w:p>
      <w:pPr>
        <w:spacing w:after="120" w:line="276" w:lineRule="auto"/>
      </w:pPr>
      <w:r>
        <w:rPr>
          <w:rFonts w:ascii="Calibri" w:hAnsi="Calibri"/>
          <w:sz w:val="22"/>
        </w:rPr>
        <w:t>TraceGuard is a universal, provider-agnostic AI governance and decision path auditing platform designed for autonomous agent workflows.</w:t>
      </w:r>
    </w:p>
    <w:p>
      <w:pPr>
        <w:spacing w:after="120" w:line="276" w:lineRule="auto"/>
      </w:pPr>
      <w:r>
        <w:rPr>
          <w:rFonts w:ascii="Calibri" w:hAnsi="Calibri"/>
          <w:sz w:val="22"/>
        </w:rPr>
        <w:t>As enterprises delegate operational authority to AI agents (e.g., granting loans, approving employee leave, issuing refunds), traditional application logging systems fail. Standard text logs capture final responses or unformatted strings, failing to record intermediate tool calls, tool parameters, database observations, or the agent's chain-of-thought. Furthermore, storing raw user logs frequently exposes sensitive Personally Identifiable Information (PII).</w:t>
      </w:r>
    </w:p>
    <w:p>
      <w:pPr>
        <w:spacing w:before="240" w:after="80"/>
      </w:pPr>
      <w:r>
        <w:rPr>
          <w:rFonts w:ascii="Calibri" w:hAnsi="Calibri"/>
          <w:b/>
          <w:color w:val="2E75B6"/>
          <w:sz w:val="28"/>
        </w:rPr>
        <w:t>Core Objectives</w:t>
      </w:r>
    </w:p>
    <w:p>
      <w:pPr>
        <w:pStyle w:val="ListBullet"/>
        <w:spacing w:after="80" w:line="276" w:lineRule="auto"/>
      </w:pPr>
      <w:r>
        <w:rPr>
          <w:rFonts w:ascii="Calibri" w:hAnsi="Calibri"/>
          <w:b/>
          <w:sz w:val="22"/>
        </w:rPr>
        <w:t>Causal Auditing:</w:t>
      </w:r>
      <w:r>
        <w:rPr>
          <w:rFonts w:ascii="Calibri" w:hAnsi="Calibri"/>
          <w:sz w:val="22"/>
        </w:rPr>
        <w:t xml:space="preserve"> Capture the full execution path (Thought -&gt; Tool Call -&gt; Tool Output -&gt; Final Verdict).</w:t>
      </w:r>
    </w:p>
    <w:p>
      <w:pPr>
        <w:pStyle w:val="ListBullet"/>
        <w:spacing w:after="80" w:line="276" w:lineRule="auto"/>
      </w:pPr>
      <w:r>
        <w:rPr>
          <w:rFonts w:ascii="Calibri" w:hAnsi="Calibri"/>
          <w:b/>
          <w:sz w:val="22"/>
        </w:rPr>
        <w:t>Zero-PII Storage:</w:t>
      </w:r>
      <w:r>
        <w:rPr>
          <w:rFonts w:ascii="Calibri" w:hAnsi="Calibri"/>
          <w:sz w:val="22"/>
        </w:rPr>
        <w:t xml:space="preserve"> Mask sensitive personal and financial data prior to database persistence.</w:t>
      </w:r>
    </w:p>
    <w:p>
      <w:pPr>
        <w:pStyle w:val="ListBullet"/>
        <w:spacing w:after="80" w:line="276" w:lineRule="auto"/>
      </w:pPr>
      <w:r>
        <w:rPr>
          <w:rFonts w:ascii="Calibri" w:hAnsi="Calibri"/>
          <w:b/>
          <w:sz w:val="22"/>
        </w:rPr>
        <w:t>Explainability Intelligence:</w:t>
      </w:r>
      <w:r>
        <w:rPr>
          <w:rFonts w:ascii="Calibri" w:hAnsi="Calibri"/>
          <w:sz w:val="22"/>
        </w:rPr>
        <w:t xml:space="preserve"> Generate dual-layer summaries (human-readable customer explanations and formal regulatory briefs for CFPB, DOL, and FTC audits).</w:t>
      </w:r>
    </w:p>
    <w:p>
      <w:pPr>
        <w:pStyle w:val="ListBullet"/>
        <w:spacing w:after="80" w:line="276" w:lineRule="auto"/>
      </w:pPr>
      <w:r>
        <w:rPr>
          <w:rFonts w:ascii="Calibri" w:hAnsi="Calibri"/>
          <w:b/>
          <w:sz w:val="22"/>
        </w:rPr>
        <w:t>Agent-Agnostic Design:</w:t>
      </w:r>
      <w:r>
        <w:rPr>
          <w:rFonts w:ascii="Calibri" w:hAnsi="Calibri"/>
          <w:sz w:val="22"/>
        </w:rPr>
        <w:t xml:space="preserve"> Attach seamlessly to any LangGraph state machine via event callbacks without modifying core business code.</w:t>
      </w:r>
    </w:p>
    <w:p>
      <w:pPr>
        <w:pStyle w:val="ListBullet"/>
        <w:spacing w:after="80" w:line="276" w:lineRule="auto"/>
      </w:pPr>
      <w:r>
        <w:rPr>
          <w:rFonts w:ascii="Calibri" w:hAnsi="Calibri"/>
          <w:b/>
          <w:sz w:val="22"/>
        </w:rPr>
        <w:t>Production Scalability:</w:t>
      </w:r>
      <w:r>
        <w:rPr>
          <w:rFonts w:ascii="Calibri" w:hAnsi="Calibri"/>
          <w:sz w:val="22"/>
        </w:rPr>
        <w:t xml:space="preserve"> Run on PostgreSQL with support for containerized deployments (Docker Compose &amp; AWS EC2).</w:t>
      </w:r>
    </w:p>
    <w:p>
      <w:pPr>
        <w:spacing w:before="320" w:after="120"/>
      </w:pPr>
      <w:r>
        <w:rPr>
          <w:rFonts w:ascii="Calibri" w:hAnsi="Calibri"/>
          <w:b/>
          <w:color w:val="1F4E79"/>
          <w:sz w:val="36"/>
        </w:rPr>
        <w:t>2. Problem Statement Alignment (PS-7.1)</w:t>
      </w:r>
    </w:p>
    <w:p>
      <w:pPr>
        <w:spacing w:after="120" w:line="276" w:lineRule="auto"/>
      </w:pPr>
      <w:r>
        <w:rPr>
          <w:rFonts w:ascii="Calibri" w:hAnsi="Calibri"/>
          <w:sz w:val="22"/>
        </w:rPr>
        <w:t>This project directly fulfills all requirements specified in PS-7.1: The Decision Path Auditor:</w:t>
      </w:r>
    </w:p>
    <w:tbl>
      <w:tblPr>
        <w:tblW w:type="auto" w:w="0"/>
        <w:jc w:val="center"/>
        <w:tblLook w:firstColumn="1" w:firstRow="1" w:lastColumn="0" w:lastRow="0" w:noHBand="0" w:noVBand="1" w:val="04A0"/>
      </w:tblPr>
      <w:tblGrid>
        <w:gridCol w:w="3120"/>
        <w:gridCol w:w="3120"/>
        <w:gridCol w:w="3120"/>
      </w:tblGrid>
      <w:tr>
        <w:tc>
          <w:tcPr>
            <w:tcW w:type="dxa" w:w="3120"/>
          </w:tcPr>
          <w:p>
            <w:r>
              <w:t>Requirement</w:t>
            </w:r>
          </w:p>
        </w:tc>
        <w:tc>
          <w:tcPr>
            <w:tcW w:type="dxa" w:w="3120"/>
          </w:tcPr>
          <w:p>
            <w:r>
              <w:t>Implementation in TraceGuard</w:t>
            </w:r>
          </w:p>
        </w:tc>
        <w:tc>
          <w:tcPr>
            <w:tcW w:type="dxa" w:w="3120"/>
          </w:tcPr>
          <w:p>
            <w:r>
              <w:t>Status</w:t>
            </w:r>
          </w:p>
        </w:tc>
      </w:tr>
      <w:tr>
        <w:tc>
          <w:tcPr>
            <w:tcW w:type="dxa" w:w="3120"/>
          </w:tcPr>
          <w:p>
            <w:r>
              <w:t>Instrumented Agent Wrapper</w:t>
            </w:r>
          </w:p>
        </w:tc>
        <w:tc>
          <w:tcPr>
            <w:tcW w:type="dxa" w:w="3120"/>
          </w:tcPr>
          <w:p>
            <w:r>
              <w:t>Custom AuditCallbackHandler hooked into LangChain/LangGraph events</w:t>
            </w:r>
          </w:p>
        </w:tc>
        <w:tc>
          <w:tcPr>
            <w:tcW w:type="dxa" w:w="3120"/>
          </w:tcPr>
          <w:p>
            <w:r>
              <w:t>Completed</w:t>
            </w:r>
          </w:p>
        </w:tc>
      </w:tr>
      <w:tr>
        <w:tc>
          <w:tcPr>
            <w:tcW w:type="dxa" w:w="3120"/>
          </w:tcPr>
          <w:p>
            <w:r>
              <w:t>Decision Path Reconstructor</w:t>
            </w:r>
          </w:p>
        </w:tc>
        <w:tc>
          <w:tcPr>
            <w:tcW w:type="dxa" w:w="3120"/>
          </w:tcPr>
          <w:p>
            <w:r>
              <w:t>Timeline endpoint /audit/session/{id} reconstructing full causal chains</w:t>
            </w:r>
          </w:p>
        </w:tc>
        <w:tc>
          <w:tcPr>
            <w:tcW w:type="dxa" w:w="3120"/>
          </w:tcPr>
          <w:p>
            <w:r>
              <w:t>Completed</w:t>
            </w:r>
          </w:p>
        </w:tc>
      </w:tr>
      <w:tr>
        <w:tc>
          <w:tcPr>
            <w:tcW w:type="dxa" w:w="3120"/>
          </w:tcPr>
          <w:p>
            <w:r>
              <w:t>Decision Summary Generator</w:t>
            </w:r>
          </w:p>
        </w:tc>
        <w:tc>
          <w:tcPr>
            <w:tcW w:type="dxa" w:w="3120"/>
          </w:tcPr>
          <w:p>
            <w:r>
              <w:t>LLM-powered summarizer (app/summarizer.py) synthesizing plain-English explanations</w:t>
            </w:r>
          </w:p>
        </w:tc>
        <w:tc>
          <w:tcPr>
            <w:tcW w:type="dxa" w:w="3120"/>
          </w:tcPr>
          <w:p>
            <w:r>
              <w:t>Completed</w:t>
            </w:r>
          </w:p>
        </w:tc>
      </w:tr>
      <w:tr>
        <w:tc>
          <w:tcPr>
            <w:tcW w:type="dxa" w:w="3120"/>
          </w:tcPr>
          <w:p>
            <w:r>
              <w:t>PII Redaction Layer</w:t>
            </w:r>
          </w:p>
        </w:tc>
        <w:tc>
          <w:tcPr>
            <w:tcW w:type="dxa" w:w="3120"/>
          </w:tcPr>
          <w:p>
            <w:r>
              <w:t>Regex-based sanitization engine (app/redactor.py) for emails, phones, and credit cards</w:t>
            </w:r>
          </w:p>
        </w:tc>
        <w:tc>
          <w:tcPr>
            <w:tcW w:type="dxa" w:w="3120"/>
          </w:tcPr>
          <w:p>
            <w:r>
              <w:t>Completed</w:t>
            </w:r>
          </w:p>
        </w:tc>
      </w:tr>
      <w:tr>
        <w:tc>
          <w:tcPr>
            <w:tcW w:type="dxa" w:w="3120"/>
          </w:tcPr>
          <w:p>
            <w:r>
              <w:t>Regulatory Brief Generator (Bonus)</w:t>
            </w:r>
          </w:p>
        </w:tc>
        <w:tc>
          <w:tcPr>
            <w:tcW w:type="dxa" w:w="3120"/>
          </w:tcPr>
          <w:p>
            <w:r>
              <w:t>Specialized prompt engines producing formal compliance briefs for CFPB, DOL, and FTC</w:t>
            </w:r>
          </w:p>
        </w:tc>
        <w:tc>
          <w:tcPr>
            <w:tcW w:type="dxa" w:w="3120"/>
          </w:tcPr>
          <w:p>
            <w:r>
              <w:t>Completed</w:t>
            </w:r>
          </w:p>
        </w:tc>
      </w:tr>
    </w:tbl>
    <w:p>
      <w:pPr>
        <w:spacing w:before="320" w:after="120"/>
      </w:pPr>
      <w:r>
        <w:rPr>
          <w:rFonts w:ascii="Calibri" w:hAnsi="Calibri"/>
          <w:b/>
          <w:color w:val="1F4E79"/>
          <w:sz w:val="36"/>
        </w:rPr>
        <w:t>3. Architecture &amp; Component Design</w:t>
      </w:r>
    </w:p>
    <w:p>
      <w:pPr>
        <w:spacing w:after="120" w:line="276" w:lineRule="auto"/>
      </w:pPr>
      <w:r>
        <w:rPr>
          <w:rFonts w:ascii="Calibri" w:hAnsi="Calibri"/>
          <w:sz w:val="22"/>
        </w:rPr>
        <w:t>The platform uses a modular, decoupled architecture separating UI, API routes, stateful LangGraph agent execution, interception callbacks, and relational persistence.</w:t>
      </w:r>
    </w:p>
    <w:p>
      <w:pPr>
        <w:spacing w:before="240" w:after="80"/>
      </w:pPr>
      <w:r>
        <w:rPr>
          <w:rFonts w:ascii="Calibri" w:hAnsi="Calibri"/>
          <w:b/>
          <w:color w:val="2E75B6"/>
          <w:sz w:val="28"/>
        </w:rPr>
        <w:t>Component Breakdown</w:t>
      </w:r>
    </w:p>
    <w:p>
      <w:pPr>
        <w:pStyle w:val="ListBullet"/>
        <w:spacing w:after="80" w:line="276" w:lineRule="auto"/>
      </w:pPr>
      <w:r>
        <w:rPr>
          <w:rFonts w:ascii="Calibri" w:hAnsi="Calibri"/>
          <w:b/>
          <w:sz w:val="22"/>
        </w:rPr>
        <w:t>Frontend Console UI:</w:t>
      </w:r>
      <w:r>
        <w:rPr>
          <w:rFonts w:ascii="Calibri" w:hAnsi="Calibri"/>
          <w:sz w:val="22"/>
        </w:rPr>
        <w:t xml:space="preserve"> Built with HTML5, Vanilla CSS, and JS, featuring a glassmorphism theme, dynamic SVG timeline elements, and live markdown rendering.</w:t>
      </w:r>
    </w:p>
    <w:p>
      <w:pPr>
        <w:pStyle w:val="ListBullet"/>
        <w:spacing w:after="80" w:line="276" w:lineRule="auto"/>
      </w:pPr>
      <w:r>
        <w:rPr>
          <w:rFonts w:ascii="Calibri" w:hAnsi="Calibri"/>
          <w:b/>
          <w:sz w:val="22"/>
        </w:rPr>
        <w:t>Backend API Gateway:</w:t>
      </w:r>
      <w:r>
        <w:rPr>
          <w:rFonts w:ascii="Calibri" w:hAnsi="Calibri"/>
          <w:sz w:val="22"/>
        </w:rPr>
        <w:t xml:space="preserve"> Built with FastAPI and Python 3.10, implementing Pydantic V2 validation, dependency-injected database sessions, and asynchronous routing.</w:t>
      </w:r>
    </w:p>
    <w:p>
      <w:pPr>
        <w:pStyle w:val="ListBullet"/>
        <w:spacing w:after="80" w:line="276" w:lineRule="auto"/>
      </w:pPr>
      <w:r>
        <w:rPr>
          <w:rFonts w:ascii="Calibri" w:hAnsi="Calibri"/>
          <w:b/>
          <w:sz w:val="22"/>
        </w:rPr>
        <w:t>AuditCallbackHandler:</w:t>
      </w:r>
      <w:r>
        <w:rPr>
          <w:rFonts w:ascii="Calibri" w:hAnsi="Calibri"/>
          <w:sz w:val="22"/>
        </w:rPr>
        <w:t xml:space="preserve"> Inherits from BaseCallbackHandler to passively record THOUGHT, TOOL_CALL, and TOOL_OUTPUT events.</w:t>
      </w:r>
    </w:p>
    <w:p>
      <w:pPr>
        <w:pStyle w:val="ListBullet"/>
        <w:spacing w:after="80" w:line="276" w:lineRule="auto"/>
      </w:pPr>
      <w:r>
        <w:rPr>
          <w:rFonts w:ascii="Calibri" w:hAnsi="Calibri"/>
          <w:b/>
          <w:sz w:val="22"/>
        </w:rPr>
        <w:t>PII Redactor Engine:</w:t>
      </w:r>
      <w:r>
        <w:rPr>
          <w:rFonts w:ascii="Calibri" w:hAnsi="Calibri"/>
          <w:sz w:val="22"/>
        </w:rPr>
        <w:t xml:space="preserve"> Zero-dependency regex engine filtering emails, phone numbers, and financial cards prior to SQL insertion.</w:t>
      </w:r>
    </w:p>
    <w:p>
      <w:pPr>
        <w:pStyle w:val="ListBullet"/>
        <w:spacing w:after="80" w:line="276" w:lineRule="auto"/>
      </w:pPr>
      <w:r>
        <w:rPr>
          <w:rFonts w:ascii="Calibri" w:hAnsi="Calibri"/>
          <w:b/>
          <w:sz w:val="22"/>
        </w:rPr>
        <w:t>LangGraph Agents Suite:</w:t>
      </w:r>
      <w:r>
        <w:rPr>
          <w:rFonts w:ascii="Calibri" w:hAnsi="Calibri"/>
          <w:sz w:val="22"/>
        </w:rPr>
        <w:t xml:space="preserve"> Three production ReAct agents (Lending, HR Leave, Support Refund) executing SQL queries against domain tables.</w:t>
      </w:r>
    </w:p>
    <w:p>
      <w:pPr>
        <w:pStyle w:val="ListBullet"/>
        <w:spacing w:after="80" w:line="276" w:lineRule="auto"/>
      </w:pPr>
      <w:r>
        <w:rPr>
          <w:rFonts w:ascii="Calibri" w:hAnsi="Calibri"/>
          <w:b/>
          <w:sz w:val="22"/>
        </w:rPr>
        <w:t>Explainability Engine:</w:t>
      </w:r>
      <w:r>
        <w:rPr>
          <w:rFonts w:ascii="Calibri" w:hAnsi="Calibri"/>
          <w:sz w:val="22"/>
        </w:rPr>
        <w:t xml:space="preserve"> Uses LiteLLM and Google Gemini 3.5 Flash to synthesize plain-English summaries and agency defense letters.</w:t>
      </w:r>
    </w:p>
    <w:p>
      <w:pPr>
        <w:spacing w:before="320" w:after="120"/>
      </w:pPr>
      <w:r>
        <w:rPr>
          <w:rFonts w:ascii="Calibri" w:hAnsi="Calibri"/>
          <w:b/>
          <w:color w:val="1F4E79"/>
          <w:sz w:val="36"/>
        </w:rPr>
        <w:t>4. Enterprise Business Agents Suite</w:t>
      </w:r>
    </w:p>
    <w:p>
      <w:pPr>
        <w:spacing w:after="120" w:line="276" w:lineRule="auto"/>
      </w:pPr>
      <w:r>
        <w:rPr>
          <w:rFonts w:ascii="Calibri" w:hAnsi="Calibri"/>
          <w:sz w:val="22"/>
        </w:rPr>
        <w:t>TraceGuard replaces static mock implementations with three operational ReAct agents located in app/agents/:</w:t>
      </w:r>
    </w:p>
    <w:p>
      <w:pPr>
        <w:spacing w:before="240" w:after="80"/>
      </w:pPr>
      <w:r>
        <w:rPr>
          <w:rFonts w:ascii="Calibri" w:hAnsi="Calibri"/>
          <w:b/>
          <w:color w:val="2E75B6"/>
          <w:sz w:val="28"/>
        </w:rPr>
        <w:t>4.1 Bank Loan Underwriter Agent</w:t>
      </w:r>
    </w:p>
    <w:p>
      <w:pPr>
        <w:pStyle w:val="ListBullet"/>
        <w:spacing w:after="80" w:line="276" w:lineRule="auto"/>
      </w:pPr>
      <w:r>
        <w:rPr>
          <w:rFonts w:ascii="Calibri" w:hAnsi="Calibri"/>
          <w:b/>
          <w:sz w:val="22"/>
        </w:rPr>
        <w:t>Domain:</w:t>
      </w:r>
      <w:r>
        <w:rPr>
          <w:rFonts w:ascii="Calibri" w:hAnsi="Calibri"/>
          <w:sz w:val="22"/>
        </w:rPr>
        <w:t>Financial risk assessment and underwriting compliance (ECOA).</w:t>
      </w:r>
    </w:p>
    <w:p>
      <w:pPr>
        <w:pStyle w:val="ListBullet"/>
        <w:spacing w:after="80" w:line="276" w:lineRule="auto"/>
      </w:pPr>
      <w:r>
        <w:rPr>
          <w:rFonts w:ascii="Calibri" w:hAnsi="Calibri"/>
          <w:b/>
          <w:sz w:val="22"/>
        </w:rPr>
        <w:t>Database Entity:</w:t>
      </w:r>
      <w:r>
        <w:rPr>
          <w:rFonts w:ascii="Calibri" w:hAnsi="Calibri"/>
          <w:sz w:val="22"/>
        </w:rPr>
        <w:t>applicant_profiles table.</w:t>
      </w:r>
    </w:p>
    <w:p>
      <w:pPr>
        <w:pStyle w:val="ListBullet"/>
        <w:spacing w:after="80" w:line="276" w:lineRule="auto"/>
      </w:pPr>
      <w:r>
        <w:rPr>
          <w:rFonts w:ascii="Calibri" w:hAnsi="Calibri"/>
          <w:b/>
          <w:sz w:val="22"/>
        </w:rPr>
        <w:t>Tools Executed:</w:t>
      </w:r>
      <w:r>
        <w:rPr>
          <w:rFonts w:ascii="Calibri" w:hAnsi="Calibri"/>
          <w:sz w:val="22"/>
        </w:rPr>
        <w:t>get_credit_profile, get_active_debts, get_income_profile.</w:t>
      </w:r>
    </w:p>
    <w:p>
      <w:pPr>
        <w:pStyle w:val="ListBullet"/>
        <w:spacing w:after="80" w:line="276" w:lineRule="auto"/>
      </w:pPr>
      <w:r>
        <w:rPr>
          <w:rFonts w:ascii="Calibri" w:hAnsi="Calibri"/>
          <w:b/>
          <w:sz w:val="22"/>
        </w:rPr>
        <w:t>Policy Rules:</w:t>
      </w:r>
      <w:r>
        <w:rPr>
          <w:rFonts w:ascii="Calibri" w:hAnsi="Calibri"/>
          <w:sz w:val="22"/>
        </w:rPr>
        <w:t>Credit Score &gt;= 580 | Employment Status = 'Employed' | Employment Length &gt;= 1.0 yr | 0 Missed Payments | DTI Ratio &lt;= 45%.</w:t>
      </w:r>
    </w:p>
    <w:p>
      <w:pPr>
        <w:spacing w:before="240" w:after="80"/>
      </w:pPr>
      <w:r>
        <w:rPr>
          <w:rFonts w:ascii="Calibri" w:hAnsi="Calibri"/>
          <w:b/>
          <w:color w:val="2E75B6"/>
          <w:sz w:val="28"/>
        </w:rPr>
        <w:t>4.2 Enterprise HR Leave Approval Agent</w:t>
      </w:r>
    </w:p>
    <w:p>
      <w:pPr>
        <w:pStyle w:val="ListBullet"/>
        <w:spacing w:after="80" w:line="276" w:lineRule="auto"/>
      </w:pPr>
      <w:r>
        <w:rPr>
          <w:rFonts w:ascii="Calibri" w:hAnsi="Calibri"/>
          <w:b/>
          <w:sz w:val="22"/>
        </w:rPr>
        <w:t>Domain:</w:t>
      </w:r>
      <w:r>
        <w:rPr>
          <w:rFonts w:ascii="Calibri" w:hAnsi="Calibri"/>
          <w:sz w:val="22"/>
        </w:rPr>
        <w:t>Corporate HR and workforce compliance (FMLA).</w:t>
      </w:r>
    </w:p>
    <w:p>
      <w:pPr>
        <w:pStyle w:val="ListBullet"/>
        <w:spacing w:after="80" w:line="276" w:lineRule="auto"/>
      </w:pPr>
      <w:r>
        <w:rPr>
          <w:rFonts w:ascii="Calibri" w:hAnsi="Calibri"/>
          <w:b/>
          <w:sz w:val="22"/>
        </w:rPr>
        <w:t>Database Entities:</w:t>
      </w:r>
      <w:r>
        <w:rPr>
          <w:rFonts w:ascii="Calibri" w:hAnsi="Calibri"/>
          <w:sz w:val="22"/>
        </w:rPr>
        <w:t>employee_records, leave_records tables.</w:t>
      </w:r>
    </w:p>
    <w:p>
      <w:pPr>
        <w:pStyle w:val="ListBullet"/>
        <w:spacing w:after="80" w:line="276" w:lineRule="auto"/>
      </w:pPr>
      <w:r>
        <w:rPr>
          <w:rFonts w:ascii="Calibri" w:hAnsi="Calibri"/>
          <w:b/>
          <w:sz w:val="22"/>
        </w:rPr>
        <w:t>Tools Executed:</w:t>
      </w:r>
      <w:r>
        <w:rPr>
          <w:rFonts w:ascii="Calibri" w:hAnsi="Calibri"/>
          <w:sz w:val="22"/>
        </w:rPr>
        <w:t>get_employee_record, get_leave_balance, check_team_calendar.</w:t>
      </w:r>
    </w:p>
    <w:p>
      <w:pPr>
        <w:pStyle w:val="ListBullet"/>
        <w:spacing w:after="80" w:line="276" w:lineRule="auto"/>
      </w:pPr>
      <w:r>
        <w:rPr>
          <w:rFonts w:ascii="Calibri" w:hAnsi="Calibri"/>
          <w:b/>
          <w:sz w:val="22"/>
        </w:rPr>
        <w:t>Policy Rules:</w:t>
      </w:r>
      <w:r>
        <w:rPr>
          <w:rFonts w:ascii="Calibri" w:hAnsi="Calibri"/>
          <w:sz w:val="22"/>
        </w:rPr>
        <w:t>Employee Status = 'Active' | Requested Days &lt;= Available Balance | Departmental Staffing Coverage &gt;= 60%.</w:t>
      </w:r>
    </w:p>
    <w:p>
      <w:pPr>
        <w:spacing w:before="240" w:after="80"/>
      </w:pPr>
      <w:r>
        <w:rPr>
          <w:rFonts w:ascii="Calibri" w:hAnsi="Calibri"/>
          <w:b/>
          <w:color w:val="2E75B6"/>
          <w:sz w:val="28"/>
        </w:rPr>
        <w:t>4.3 E-Commerce Support Refund Agent</w:t>
      </w:r>
    </w:p>
    <w:p>
      <w:pPr>
        <w:pStyle w:val="ListBullet"/>
        <w:spacing w:after="80" w:line="276" w:lineRule="auto"/>
      </w:pPr>
      <w:r>
        <w:rPr>
          <w:rFonts w:ascii="Calibri" w:hAnsi="Calibri"/>
          <w:b/>
          <w:sz w:val="22"/>
        </w:rPr>
        <w:t>Domain:</w:t>
      </w:r>
      <w:r>
        <w:rPr>
          <w:rFonts w:ascii="Calibri" w:hAnsi="Calibri"/>
          <w:sz w:val="22"/>
        </w:rPr>
        <w:t>E-Commerce policy enforcement and fraud prevention (FTC).</w:t>
      </w:r>
    </w:p>
    <w:p>
      <w:pPr>
        <w:pStyle w:val="ListBullet"/>
        <w:spacing w:after="80" w:line="276" w:lineRule="auto"/>
      </w:pPr>
      <w:r>
        <w:rPr>
          <w:rFonts w:ascii="Calibri" w:hAnsi="Calibri"/>
          <w:b/>
          <w:sz w:val="22"/>
        </w:rPr>
        <w:t>Database Entities:</w:t>
      </w:r>
      <w:r>
        <w:rPr>
          <w:rFonts w:ascii="Calibri" w:hAnsi="Calibri"/>
          <w:sz w:val="22"/>
        </w:rPr>
        <w:t>customer_accounts, order_records tables.</w:t>
      </w:r>
    </w:p>
    <w:p>
      <w:pPr>
        <w:pStyle w:val="ListBullet"/>
        <w:spacing w:after="80" w:line="276" w:lineRule="auto"/>
      </w:pPr>
      <w:r>
        <w:rPr>
          <w:rFonts w:ascii="Calibri" w:hAnsi="Calibri"/>
          <w:b/>
          <w:sz w:val="22"/>
        </w:rPr>
        <w:t>Tools Executed:</w:t>
      </w:r>
      <w:r>
        <w:rPr>
          <w:rFonts w:ascii="Calibri" w:hAnsi="Calibri"/>
          <w:sz w:val="22"/>
        </w:rPr>
        <w:t>get_customer_account, get_order_details, get_fraud_score.</w:t>
      </w:r>
    </w:p>
    <w:p>
      <w:pPr>
        <w:pStyle w:val="ListBullet"/>
        <w:spacing w:after="80" w:line="276" w:lineRule="auto"/>
      </w:pPr>
      <w:r>
        <w:rPr>
          <w:rFonts w:ascii="Calibri" w:hAnsi="Calibri"/>
          <w:b/>
          <w:sz w:val="22"/>
        </w:rPr>
        <w:t>Policy Rules:</w:t>
      </w:r>
      <w:r>
        <w:rPr>
          <w:rFonts w:ascii="Calibri" w:hAnsi="Calibri"/>
          <w:sz w:val="22"/>
        </w:rPr>
        <w:t>Account Status = 'Active' (Trust Score &gt;= 50) | Return Window &lt;= 30 Days | Refund Amount &lt;= $500 | Fraud Risk Score &lt; 50.</w:t>
      </w:r>
    </w:p>
    <w:p>
      <w:pPr>
        <w:spacing w:before="320" w:after="120"/>
      </w:pPr>
      <w:r>
        <w:rPr>
          <w:rFonts w:ascii="Calibri" w:hAnsi="Calibri"/>
          <w:b/>
          <w:color w:val="1F4E79"/>
          <w:sz w:val="36"/>
        </w:rPr>
        <w:t>5. Governance &amp; Audit Mechanics</w:t>
      </w:r>
    </w:p>
    <w:p>
      <w:pPr>
        <w:spacing w:before="240" w:after="80"/>
      </w:pPr>
      <w:r>
        <w:rPr>
          <w:rFonts w:ascii="Calibri" w:hAnsi="Calibri"/>
          <w:b/>
          <w:color w:val="2E75B6"/>
          <w:sz w:val="28"/>
        </w:rPr>
        <w:t>5.1 Passive Callback Interception</w:t>
      </w:r>
    </w:p>
    <w:p>
      <w:pPr>
        <w:spacing w:after="120" w:line="276" w:lineRule="auto"/>
      </w:pPr>
      <w:r>
        <w:rPr>
          <w:rFonts w:ascii="Calibri" w:hAnsi="Calibri"/>
          <w:sz w:val="22"/>
        </w:rPr>
        <w:t>The AuditCallbackHandler in app/callbacks.py inherits from BaseCallbackHandler. It passively listens to runtime lifecycle events:</w:t>
      </w:r>
    </w:p>
    <w:p>
      <w:pPr>
        <w:pStyle w:val="ListBullet"/>
        <w:spacing w:after="80" w:line="276" w:lineRule="auto"/>
      </w:pPr>
      <w:r>
        <w:rPr>
          <w:rFonts w:ascii="Calibri" w:hAnsi="Calibri"/>
          <w:b/>
          <w:sz w:val="22"/>
        </w:rPr>
        <w:t xml:space="preserve">on_tool_start: </w:t>
      </w:r>
      <w:r>
        <w:rPr>
          <w:rFonts w:ascii="Calibri" w:hAnsi="Calibri"/>
          <w:sz w:val="22"/>
        </w:rPr>
        <w:t>Records tool name and input parameter dictionary (step_type = TOOL_CALL).</w:t>
      </w:r>
    </w:p>
    <w:p>
      <w:pPr>
        <w:pStyle w:val="ListBullet"/>
        <w:spacing w:after="80" w:line="276" w:lineRule="auto"/>
      </w:pPr>
      <w:r>
        <w:rPr>
          <w:rFonts w:ascii="Calibri" w:hAnsi="Calibri"/>
          <w:b/>
          <w:sz w:val="22"/>
        </w:rPr>
        <w:t xml:space="preserve">on_tool_end: </w:t>
      </w:r>
      <w:r>
        <w:rPr>
          <w:rFonts w:ascii="Calibri" w:hAnsi="Calibri"/>
          <w:sz w:val="22"/>
        </w:rPr>
        <w:t>Records raw JSON payload returned by database query tools (step_type = TOOL_OUTPUT).</w:t>
      </w:r>
    </w:p>
    <w:p>
      <w:pPr>
        <w:pStyle w:val="ListBullet"/>
        <w:spacing w:after="80" w:line="276" w:lineRule="auto"/>
      </w:pPr>
      <w:r>
        <w:rPr>
          <w:rFonts w:ascii="Calibri" w:hAnsi="Calibri"/>
          <w:b/>
          <w:sz w:val="22"/>
        </w:rPr>
        <w:t xml:space="preserve">on_chain_end: </w:t>
      </w:r>
      <w:r>
        <w:rPr>
          <w:rFonts w:ascii="Calibri" w:hAnsi="Calibri"/>
          <w:sz w:val="22"/>
        </w:rPr>
        <w:t>Extracts intermediate LLM thoughts (step_type = THOUGHT).</w:t>
      </w:r>
    </w:p>
    <w:p>
      <w:pPr>
        <w:pStyle w:val="ListBullet"/>
        <w:spacing w:after="80" w:line="276" w:lineRule="auto"/>
      </w:pPr>
      <w:r>
        <w:rPr>
          <w:rFonts w:ascii="Calibri" w:hAnsi="Calibri"/>
          <w:b/>
          <w:sz w:val="22"/>
        </w:rPr>
        <w:t xml:space="preserve">on_agent_finish: </w:t>
      </w:r>
      <w:r>
        <w:rPr>
          <w:rFonts w:ascii="Calibri" w:hAnsi="Calibri"/>
          <w:sz w:val="22"/>
        </w:rPr>
        <w:t>Records final disposition status (APPROVED, DENIED, FAILED).</w:t>
      </w:r>
    </w:p>
    <w:p>
      <w:pPr>
        <w:spacing w:before="240" w:after="80"/>
      </w:pPr>
      <w:r>
        <w:rPr>
          <w:rFonts w:ascii="Calibri" w:hAnsi="Calibri"/>
          <w:b/>
          <w:color w:val="2E75B6"/>
          <w:sz w:val="28"/>
        </w:rPr>
        <w:t>5.2 Dynamic PII Masking Engine</w:t>
      </w:r>
    </w:p>
    <w:p>
      <w:pPr>
        <w:spacing w:after="120" w:line="276" w:lineRule="auto"/>
      </w:pPr>
      <w:r>
        <w:rPr>
          <w:rFonts w:ascii="Calibri" w:hAnsi="Calibri"/>
          <w:sz w:val="22"/>
        </w:rPr>
        <w:t>Located in app/redactor.py, the PII Redaction Engine intercepts all user inputs, tool arguments, and observation payloads before SQL insertion:</w:t>
      </w:r>
    </w:p>
    <w:p>
      <w:pPr>
        <w:pStyle w:val="ListBullet"/>
        <w:spacing w:after="80" w:line="276" w:lineRule="auto"/>
      </w:pPr>
      <w:r>
        <w:rPr>
          <w:rFonts w:ascii="Calibri" w:hAnsi="Calibri"/>
          <w:b/>
          <w:sz w:val="22"/>
        </w:rPr>
        <w:t xml:space="preserve">Emails: </w:t>
      </w:r>
      <w:r>
        <w:rPr>
          <w:rFonts w:ascii="Calibri" w:hAnsi="Calibri"/>
          <w:sz w:val="22"/>
        </w:rPr>
        <w:t>Redacted via regex to [REDACTED_EMAIL].</w:t>
      </w:r>
    </w:p>
    <w:p>
      <w:pPr>
        <w:pStyle w:val="ListBullet"/>
        <w:spacing w:after="80" w:line="276" w:lineRule="auto"/>
      </w:pPr>
      <w:r>
        <w:rPr>
          <w:rFonts w:ascii="Calibri" w:hAnsi="Calibri"/>
          <w:b/>
          <w:sz w:val="22"/>
        </w:rPr>
        <w:t xml:space="preserve">Phone Numbers: </w:t>
      </w:r>
      <w:r>
        <w:rPr>
          <w:rFonts w:ascii="Calibri" w:hAnsi="Calibri"/>
          <w:sz w:val="22"/>
        </w:rPr>
        <w:t>Redacted via regex to [REDACTED_PHONE].</w:t>
      </w:r>
    </w:p>
    <w:p>
      <w:pPr>
        <w:pStyle w:val="ListBullet"/>
        <w:spacing w:after="80" w:line="276" w:lineRule="auto"/>
      </w:pPr>
      <w:r>
        <w:rPr>
          <w:rFonts w:ascii="Calibri" w:hAnsi="Calibri"/>
          <w:b/>
          <w:sz w:val="22"/>
        </w:rPr>
        <w:t xml:space="preserve">Credit Cards: </w:t>
      </w:r>
      <w:r>
        <w:rPr>
          <w:rFonts w:ascii="Calibri" w:hAnsi="Calibri"/>
          <w:sz w:val="22"/>
        </w:rPr>
        <w:t>Redacted via regex to [REDACTED_CREDIT_CARD].</w:t>
      </w:r>
    </w:p>
    <w:p>
      <w:pPr>
        <w:spacing w:before="320" w:after="120"/>
      </w:pPr>
      <w:r>
        <w:rPr>
          <w:rFonts w:ascii="Calibri" w:hAnsi="Calibri"/>
          <w:b/>
          <w:color w:val="1F4E79"/>
          <w:sz w:val="36"/>
        </w:rPr>
        <w:t>6. Explainability &amp; Compliance Intelligence Engine</w:t>
      </w:r>
    </w:p>
    <w:p>
      <w:pPr>
        <w:spacing w:after="120" w:line="276" w:lineRule="auto"/>
      </w:pPr>
      <w:r>
        <w:rPr>
          <w:rFonts w:ascii="Calibri" w:hAnsi="Calibri"/>
          <w:sz w:val="22"/>
        </w:rPr>
        <w:t>Located in app/summarizer.py, this component reads stored decision steps for a given session_id and passes them to Google Gemini 3.5 Flash to generate dual outputs:</w:t>
      </w:r>
    </w:p>
    <w:p>
      <w:pPr>
        <w:pStyle w:val="ListBullet"/>
        <w:spacing w:after="80" w:line="276" w:lineRule="auto"/>
      </w:pPr>
      <w:r>
        <w:rPr>
          <w:rFonts w:ascii="Calibri" w:hAnsi="Calibri"/>
          <w:b/>
          <w:sz w:val="22"/>
        </w:rPr>
        <w:t xml:space="preserve">1. Customer Summary: </w:t>
      </w:r>
      <w:r>
        <w:rPr>
          <w:rFonts w:ascii="Calibri" w:hAnsi="Calibri"/>
          <w:sz w:val="22"/>
        </w:rPr>
        <w:t>A friendly, non-technical plain-English narrative explaining why a decision was reached.</w:t>
      </w:r>
    </w:p>
    <w:p>
      <w:pPr>
        <w:pStyle w:val="ListBullet"/>
        <w:spacing w:after="80" w:line="276" w:lineRule="auto"/>
      </w:pPr>
      <w:r>
        <w:rPr>
          <w:rFonts w:ascii="Calibri" w:hAnsi="Calibri"/>
          <w:b/>
          <w:sz w:val="22"/>
        </w:rPr>
        <w:t xml:space="preserve">2. Regulatory Defense Brief: </w:t>
      </w:r>
      <w:r>
        <w:rPr>
          <w:rFonts w:ascii="Calibri" w:hAnsi="Calibri"/>
          <w:sz w:val="22"/>
        </w:rPr>
        <w:t>A formal legal compliance defense document formatted for regulatory submission (CFPB for Lending, DOL for HR, FTC for Refunds).</w:t>
      </w:r>
    </w:p>
    <w:p>
      <w:pPr>
        <w:spacing w:before="320" w:after="120"/>
      </w:pPr>
      <w:r>
        <w:rPr>
          <w:rFonts w:ascii="Calibri" w:hAnsi="Calibri"/>
          <w:b/>
          <w:color w:val="1F4E79"/>
          <w:sz w:val="36"/>
        </w:rPr>
        <w:t>7. Database Schema &amp; Data Architecture</w:t>
      </w:r>
    </w:p>
    <w:p>
      <w:pPr>
        <w:spacing w:after="120" w:line="276" w:lineRule="auto"/>
      </w:pPr>
      <w:r>
        <w:rPr>
          <w:rFonts w:ascii="Calibri" w:hAnsi="Calibri"/>
          <w:sz w:val="22"/>
        </w:rPr>
        <w:t>The platform uses SQLAlchemy 2.0 ORM supporting both SQLite and PostgreSQL.</w:t>
      </w:r>
    </w:p>
    <w:p>
      <w:pPr>
        <w:pStyle w:val="ListBullet"/>
        <w:spacing w:after="80" w:line="276" w:lineRule="auto"/>
      </w:pPr>
      <w:r>
        <w:rPr>
          <w:rFonts w:ascii="Calibri" w:hAnsi="Calibri"/>
          <w:b/>
          <w:sz w:val="22"/>
        </w:rPr>
        <w:t xml:space="preserve">agent_sessions Table: </w:t>
      </w:r>
      <w:r>
        <w:rPr>
          <w:rFonts w:ascii="Calibri" w:hAnsi="Calibri"/>
          <w:sz w:val="22"/>
        </w:rPr>
        <w:t>Stores high-level metadata (session_id, user_id, requested_amount, final_output, decision_status, created_at).</w:t>
      </w:r>
    </w:p>
    <w:p>
      <w:pPr>
        <w:pStyle w:val="ListBullet"/>
        <w:spacing w:after="80" w:line="276" w:lineRule="auto"/>
      </w:pPr>
      <w:r>
        <w:rPr>
          <w:rFonts w:ascii="Calibri" w:hAnsi="Calibri"/>
          <w:b/>
          <w:sz w:val="22"/>
        </w:rPr>
        <w:t xml:space="preserve">decision_steps Table: </w:t>
      </w:r>
      <w:r>
        <w:rPr>
          <w:rFonts w:ascii="Calibri" w:hAnsi="Calibri"/>
          <w:sz w:val="22"/>
        </w:rPr>
        <w:t>Stores granular timeline events (id, session_id, step_type, name, input_payload, output_payload, created_at).</w:t>
      </w:r>
    </w:p>
    <w:p>
      <w:pPr>
        <w:spacing w:before="320" w:after="120"/>
      </w:pPr>
      <w:r>
        <w:rPr>
          <w:rFonts w:ascii="Calibri" w:hAnsi="Calibri"/>
          <w:b/>
          <w:color w:val="1F4E79"/>
          <w:sz w:val="36"/>
        </w:rPr>
        <w:t>8. API Specification &amp; Endpoints</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Endpoint</w:t>
            </w:r>
          </w:p>
        </w:tc>
        <w:tc>
          <w:tcPr>
            <w:tcW w:type="dxa" w:w="2340"/>
          </w:tcPr>
          <w:p>
            <w:r>
              <w:t>Method</w:t>
            </w:r>
          </w:p>
        </w:tc>
        <w:tc>
          <w:tcPr>
            <w:tcW w:type="dxa" w:w="2340"/>
          </w:tcPr>
          <w:p>
            <w:r>
              <w:t>Parameters</w:t>
            </w:r>
          </w:p>
        </w:tc>
        <w:tc>
          <w:tcPr>
            <w:tcW w:type="dxa" w:w="2340"/>
          </w:tcPr>
          <w:p>
            <w:r>
              <w:t>Description</w:t>
            </w:r>
          </w:p>
        </w:tc>
      </w:tr>
      <w:tr>
        <w:tc>
          <w:tcPr>
            <w:tcW w:type="dxa" w:w="2340"/>
          </w:tcPr>
          <w:p>
            <w:r>
              <w:t>/agent/run</w:t>
            </w:r>
          </w:p>
        </w:tc>
        <w:tc>
          <w:tcPr>
            <w:tcW w:type="dxa" w:w="2340"/>
          </w:tcPr>
          <w:p>
            <w:r>
              <w:t>POST</w:t>
            </w:r>
          </w:p>
        </w:tc>
        <w:tc>
          <w:tcPr>
            <w:tcW w:type="dxa" w:w="2340"/>
          </w:tcPr>
          <w:p>
            <w:r>
              <w:t>LoanRequest JSON</w:t>
            </w:r>
          </w:p>
        </w:tc>
        <w:tc>
          <w:tcPr>
            <w:tcW w:type="dxa" w:w="2340"/>
          </w:tcPr>
          <w:p>
            <w:r>
              <w:t>Triggers target agent evaluation, runs callbacks, and stores audit steps</w:t>
            </w:r>
          </w:p>
        </w:tc>
      </w:tr>
      <w:tr>
        <w:tc>
          <w:tcPr>
            <w:tcW w:type="dxa" w:w="2340"/>
          </w:tcPr>
          <w:p>
            <w:r>
              <w:t>/audit/sessions</w:t>
            </w:r>
          </w:p>
        </w:tc>
        <w:tc>
          <w:tcPr>
            <w:tcW w:type="dxa" w:w="2340"/>
          </w:tcPr>
          <w:p>
            <w:r>
              <w:t>GET</w:t>
            </w:r>
          </w:p>
        </w:tc>
        <w:tc>
          <w:tcPr>
            <w:tcW w:type="dxa" w:w="2340"/>
          </w:tcPr>
          <w:p>
            <w:r>
              <w:t>user_id, status, timestamps</w:t>
            </w:r>
          </w:p>
        </w:tc>
        <w:tc>
          <w:tcPr>
            <w:tcW w:type="dxa" w:w="2340"/>
          </w:tcPr>
          <w:p>
            <w:r>
              <w:t>Returns list of historical audit sessions matching search filters</w:t>
            </w:r>
          </w:p>
        </w:tc>
      </w:tr>
      <w:tr>
        <w:tc>
          <w:tcPr>
            <w:tcW w:type="dxa" w:w="2340"/>
          </w:tcPr>
          <w:p>
            <w:r>
              <w:t>/audit/session/{id}</w:t>
            </w:r>
          </w:p>
        </w:tc>
        <w:tc>
          <w:tcPr>
            <w:tcW w:type="dxa" w:w="2340"/>
          </w:tcPr>
          <w:p>
            <w:r>
              <w:t>GET</w:t>
            </w:r>
          </w:p>
        </w:tc>
        <w:tc>
          <w:tcPr>
            <w:tcW w:type="dxa" w:w="2340"/>
          </w:tcPr>
          <w:p>
            <w:r>
              <w:t>session_id (UUID)</w:t>
            </w:r>
          </w:p>
        </w:tc>
        <w:tc>
          <w:tcPr>
            <w:tcW w:type="dxa" w:w="2340"/>
          </w:tcPr>
          <w:p>
            <w:r>
              <w:t>Reconstructs full chronological timeline of steps for the session</w:t>
            </w:r>
          </w:p>
        </w:tc>
      </w:tr>
      <w:tr>
        <w:tc>
          <w:tcPr>
            <w:tcW w:type="dxa" w:w="2340"/>
          </w:tcPr>
          <w:p>
            <w:r>
              <w:t>/audit/session/{id}/explain</w:t>
            </w:r>
          </w:p>
        </w:tc>
        <w:tc>
          <w:tcPr>
            <w:tcW w:type="dxa" w:w="2340"/>
          </w:tcPr>
          <w:p>
            <w:r>
              <w:t>GET</w:t>
            </w:r>
          </w:p>
        </w:tc>
        <w:tc>
          <w:tcPr>
            <w:tcW w:type="dxa" w:w="2340"/>
          </w:tcPr>
          <w:p>
            <w:r>
              <w:t>session_id (UUID)</w:t>
            </w:r>
          </w:p>
        </w:tc>
        <w:tc>
          <w:tcPr>
            <w:tcW w:type="dxa" w:w="2340"/>
          </w:tcPr>
          <w:p>
            <w:r>
              <w:t>Returns plain-English customer justification</w:t>
            </w:r>
          </w:p>
        </w:tc>
      </w:tr>
      <w:tr>
        <w:tc>
          <w:tcPr>
            <w:tcW w:type="dxa" w:w="2340"/>
          </w:tcPr>
          <w:p>
            <w:r>
              <w:t>/audit/session/{id}/challenge-response</w:t>
            </w:r>
          </w:p>
        </w:tc>
        <w:tc>
          <w:tcPr>
            <w:tcW w:type="dxa" w:w="2340"/>
          </w:tcPr>
          <w:p>
            <w:r>
              <w:t>GET</w:t>
            </w:r>
          </w:p>
        </w:tc>
        <w:tc>
          <w:tcPr>
            <w:tcW w:type="dxa" w:w="2340"/>
          </w:tcPr>
          <w:p>
            <w:r>
              <w:t>session_id (UUID)</w:t>
            </w:r>
          </w:p>
        </w:tc>
        <w:tc>
          <w:tcPr>
            <w:tcW w:type="dxa" w:w="2340"/>
          </w:tcPr>
          <w:p>
            <w:r>
              <w:t>Returns formal regulatory defense letter for CFPB/DOL/FTC</w:t>
            </w:r>
          </w:p>
        </w:tc>
      </w:tr>
    </w:tbl>
    <w:p>
      <w:pPr>
        <w:spacing w:before="320" w:after="120"/>
      </w:pPr>
      <w:r>
        <w:rPr>
          <w:rFonts w:ascii="Calibri" w:hAnsi="Calibri"/>
          <w:b/>
          <w:color w:val="1F4E79"/>
          <w:sz w:val="36"/>
        </w:rPr>
        <w:t>9. Local &amp; Cloud Deployment Guide</w:t>
      </w:r>
    </w:p>
    <w:p>
      <w:pPr>
        <w:spacing w:before="240" w:after="80"/>
      </w:pPr>
      <w:r>
        <w:rPr>
          <w:rFonts w:ascii="Calibri" w:hAnsi="Calibri"/>
          <w:b/>
          <w:color w:val="2E75B6"/>
          <w:sz w:val="28"/>
        </w:rPr>
        <w:t>Local Execution (FastAPI + SQLite)</w:t>
      </w:r>
    </w:p>
    <w:p>
      <w:pPr>
        <w:spacing w:after="120" w:line="276" w:lineRule="auto"/>
      </w:pPr>
      <w:r>
        <w:rPr>
          <w:rFonts w:ascii="Calibri" w:hAnsi="Calibri"/>
          <w:sz w:val="22"/>
        </w:rPr>
        <w:t>git clone https://github.com/GopikaArumugam/TraceGuard.git</w:t>
        <w:br/>
        <w:t>cd TraceGuard</w:t>
        <w:br/>
        <w:t>python -m venv venv &amp;&amp; source venv/bin/activate</w:t>
        <w:br/>
        <w:t>pip install -r requirements.txt</w:t>
        <w:br/>
        <w:t>uvicorn app.main:app --reload</w:t>
      </w:r>
    </w:p>
    <w:p>
      <w:pPr>
        <w:spacing w:before="240" w:after="80"/>
      </w:pPr>
      <w:r>
        <w:rPr>
          <w:rFonts w:ascii="Calibri" w:hAnsi="Calibri"/>
          <w:b/>
          <w:color w:val="2E75B6"/>
          <w:sz w:val="28"/>
        </w:rPr>
        <w:t>Cloud Deployment (AWS EC2 + PostgreSQL)</w:t>
      </w:r>
    </w:p>
    <w:p>
      <w:pPr>
        <w:spacing w:after="120" w:line="276" w:lineRule="auto"/>
      </w:pPr>
      <w:r>
        <w:rPr>
          <w:rFonts w:ascii="Calibri" w:hAnsi="Calibri"/>
          <w:sz w:val="22"/>
        </w:rPr>
        <w:t>1. Provision Ubuntu 24.04 LTS EC2 Instance on AWS.</w:t>
        <w:br/>
        <w:t>2. SSH into instance and setup environment:</w:t>
        <w:br/>
        <w:t xml:space="preserve">   ssh -i auditor-key.pem ubuntu@13.49.68.207</w:t>
        <w:br/>
        <w:t>3. Provision PostgreSQL database &amp; schema ownership:</w:t>
        <w:br/>
        <w:t xml:space="preserve">   sudo -u postgres psql -c "CREATE DATABASE audit_db;"</w:t>
        <w:br/>
        <w:t xml:space="preserve">   sudo -u postgres psql -c "CREATE USER db_admin WITH PASSWORD 'Gopi_aiml14';"</w:t>
        <w:br/>
        <w:t xml:space="preserve">   sudo -u postgres psql -c "GRANT ALL PRIVILEGES ON DATABASE audit_db TO db_admin;"</w:t>
        <w:br/>
        <w:t xml:space="preserve">   sudo -u postgres psql -d audit_db -c "ALTER SCHEMA public OWNER TO db_admin;"</w:t>
        <w:br/>
        <w:t>4. Clone repo, setup .env, and launch server on port 80:</w:t>
        <w:br/>
        <w:t xml:space="preserve">   git clone https://github.com/GopikaArumugam/TraceGuard.git</w:t>
        <w:br/>
        <w:t xml:space="preserve">   cd TraceGuard</w:t>
        <w:br/>
        <w:t xml:space="preserve">   python3 -m venv venv &amp;&amp; source venv/bin/activate</w:t>
        <w:br/>
        <w:t xml:space="preserve">   pip install -r requirements.txt</w:t>
        <w:br/>
        <w:t xml:space="preserve">   sudo venv/bin/uvicorn app.main:app --host 0.0.0.0 --port 80</w:t>
      </w:r>
    </w:p>
    <w:p>
      <w:pPr>
        <w:spacing w:before="320" w:after="120"/>
      </w:pPr>
      <w:r>
        <w:rPr>
          <w:rFonts w:ascii="Calibri" w:hAnsi="Calibri"/>
          <w:b/>
          <w:color w:val="1F4E79"/>
          <w:sz w:val="36"/>
        </w:rPr>
        <w:t>10. Security, Privacy &amp; Regulatory Compliance</w:t>
      </w:r>
    </w:p>
    <w:p>
      <w:pPr>
        <w:pStyle w:val="ListBullet"/>
        <w:spacing w:after="80" w:line="276" w:lineRule="auto"/>
      </w:pPr>
      <w:r>
        <w:rPr>
          <w:rFonts w:ascii="Calibri" w:hAnsi="Calibri"/>
          <w:b/>
          <w:sz w:val="22"/>
        </w:rPr>
        <w:t xml:space="preserve">GDPR Article 5 (Data Minimization): </w:t>
      </w:r>
      <w:r>
        <w:rPr>
          <w:rFonts w:ascii="Calibri" w:hAnsi="Calibri"/>
          <w:sz w:val="22"/>
        </w:rPr>
        <w:t>PII is redacted prior to persistent storage.</w:t>
      </w:r>
    </w:p>
    <w:p>
      <w:pPr>
        <w:pStyle w:val="ListBullet"/>
        <w:spacing w:after="80" w:line="276" w:lineRule="auto"/>
      </w:pPr>
      <w:r>
        <w:rPr>
          <w:rFonts w:ascii="Calibri" w:hAnsi="Calibri"/>
          <w:b/>
          <w:sz w:val="22"/>
        </w:rPr>
        <w:t xml:space="preserve">EU AI Act Article 13 (Transparency): </w:t>
      </w:r>
      <w:r>
        <w:rPr>
          <w:rFonts w:ascii="Calibri" w:hAnsi="Calibri"/>
          <w:sz w:val="22"/>
        </w:rPr>
        <w:t>End-to-end causal chain reconstruction.</w:t>
      </w:r>
    </w:p>
    <w:p>
      <w:pPr>
        <w:pStyle w:val="ListBullet"/>
        <w:spacing w:after="80" w:line="276" w:lineRule="auto"/>
      </w:pPr>
      <w:r>
        <w:rPr>
          <w:rFonts w:ascii="Calibri" w:hAnsi="Calibri"/>
          <w:b/>
          <w:sz w:val="22"/>
        </w:rPr>
        <w:t xml:space="preserve">Tamper-Evident Storage: </w:t>
      </w:r>
      <w:r>
        <w:rPr>
          <w:rFonts w:ascii="Calibri" w:hAnsi="Calibri"/>
          <w:sz w:val="22"/>
        </w:rPr>
        <w:t>Immutable timestamps and relational foreign keys (session_id).</w:t>
      </w:r>
    </w:p>
    <w:p>
      <w:pPr>
        <w:pStyle w:val="ListBullet"/>
        <w:spacing w:after="80" w:line="276" w:lineRule="auto"/>
      </w:pPr>
      <w:r>
        <w:rPr>
          <w:rFonts w:ascii="Calibri" w:hAnsi="Calibri"/>
          <w:b/>
          <w:sz w:val="22"/>
        </w:rPr>
        <w:t xml:space="preserve">Secret Isolation: </w:t>
      </w:r>
      <w:r>
        <w:rPr>
          <w:rFonts w:ascii="Calibri" w:hAnsi="Calibri"/>
          <w:sz w:val="22"/>
        </w:rPr>
        <w:t>Secrets managed via .env files and excluded from source control via .gitignore.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