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3F5D51">
      <w:pPr>
        <w:spacing w:line="360" w:lineRule="auto"/>
        <w:jc w:val="center"/>
      </w:pPr>
      <w:r>
        <w:rPr>
          <w:b/>
          <w:sz w:val="34"/>
        </w:rPr>
        <w:t>SUPPLY CHAIN &amp; INVENTORY OPTIMIZATION</w:t>
      </w:r>
    </w:p>
    <w:p w14:paraId="359ED868">
      <w:pPr>
        <w:spacing w:line="360" w:lineRule="auto"/>
        <w:jc w:val="center"/>
        <w:rPr>
          <w:sz w:val="24"/>
          <w:szCs w:val="24"/>
        </w:rPr>
      </w:pPr>
      <w:r>
        <w:rPr>
          <w:b/>
          <w:sz w:val="24"/>
          <w:szCs w:val="24"/>
        </w:rPr>
        <w:t>Part D – Power BI Executive Business Report</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2664"/>
        <w:gridCol w:w="2664"/>
        <w:gridCol w:w="2664"/>
      </w:tblGrid>
      <w:tr w14:paraId="289AD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tcPr>
          <w:p w14:paraId="61377B63">
            <w:pPr>
              <w:spacing w:after="0" w:line="360" w:lineRule="auto"/>
              <w:jc w:val="center"/>
              <w:rPr>
                <w:sz w:val="24"/>
                <w:szCs w:val="24"/>
              </w:rPr>
            </w:pPr>
            <w:r>
              <w:rPr>
                <w:b/>
                <w:sz w:val="24"/>
                <w:szCs w:val="24"/>
              </w:rPr>
              <w:t>Total Inventory Value</w:t>
            </w:r>
            <w:r>
              <w:rPr>
                <w:b/>
                <w:sz w:val="24"/>
                <w:szCs w:val="24"/>
              </w:rPr>
              <w:br w:type="textWrapping"/>
            </w:r>
            <w:r>
              <w:rPr>
                <w:b/>
                <w:sz w:val="24"/>
                <w:szCs w:val="24"/>
              </w:rPr>
              <w:t>52.73M</w:t>
            </w:r>
          </w:p>
        </w:tc>
        <w:tc>
          <w:tcPr>
            <w:tcW w:w="2664" w:type="dxa"/>
          </w:tcPr>
          <w:p w14:paraId="3F5B0E9A">
            <w:pPr>
              <w:spacing w:after="0" w:line="360" w:lineRule="auto"/>
              <w:jc w:val="center"/>
              <w:rPr>
                <w:sz w:val="24"/>
                <w:szCs w:val="24"/>
              </w:rPr>
            </w:pPr>
            <w:r>
              <w:rPr>
                <w:b/>
                <w:sz w:val="24"/>
                <w:szCs w:val="24"/>
              </w:rPr>
              <w:t>Understock</w:t>
            </w:r>
            <w:r>
              <w:rPr>
                <w:b/>
                <w:sz w:val="24"/>
                <w:szCs w:val="24"/>
              </w:rPr>
              <w:br w:type="textWrapping"/>
            </w:r>
            <w:r>
              <w:rPr>
                <w:b/>
                <w:sz w:val="24"/>
                <w:szCs w:val="24"/>
              </w:rPr>
              <w:t>9.67%</w:t>
            </w:r>
          </w:p>
        </w:tc>
        <w:tc>
          <w:tcPr>
            <w:tcW w:w="2664" w:type="dxa"/>
          </w:tcPr>
          <w:p w14:paraId="45E53482">
            <w:pPr>
              <w:spacing w:after="0" w:line="360" w:lineRule="auto"/>
              <w:jc w:val="center"/>
              <w:rPr>
                <w:sz w:val="24"/>
                <w:szCs w:val="24"/>
              </w:rPr>
            </w:pPr>
            <w:r>
              <w:rPr>
                <w:b/>
                <w:sz w:val="24"/>
                <w:szCs w:val="24"/>
              </w:rPr>
              <w:t>Below Reorder Level</w:t>
            </w:r>
            <w:r>
              <w:rPr>
                <w:b/>
                <w:sz w:val="24"/>
                <w:szCs w:val="24"/>
              </w:rPr>
              <w:br w:type="textWrapping"/>
            </w:r>
            <w:r>
              <w:rPr>
                <w:b/>
                <w:sz w:val="24"/>
                <w:szCs w:val="24"/>
              </w:rPr>
              <w:t>967</w:t>
            </w:r>
          </w:p>
        </w:tc>
        <w:tc>
          <w:tcPr>
            <w:tcW w:w="2664" w:type="dxa"/>
          </w:tcPr>
          <w:p w14:paraId="4BA3365E">
            <w:pPr>
              <w:spacing w:after="0" w:line="360" w:lineRule="auto"/>
              <w:jc w:val="center"/>
              <w:rPr>
                <w:sz w:val="24"/>
                <w:szCs w:val="24"/>
              </w:rPr>
            </w:pPr>
            <w:r>
              <w:rPr>
                <w:b/>
                <w:sz w:val="24"/>
                <w:szCs w:val="24"/>
              </w:rPr>
              <w:t>Inventory Turnover</w:t>
            </w:r>
            <w:r>
              <w:rPr>
                <w:b/>
                <w:sz w:val="24"/>
                <w:szCs w:val="24"/>
              </w:rPr>
              <w:br w:type="textWrapping"/>
            </w:r>
            <w:r>
              <w:rPr>
                <w:b/>
                <w:sz w:val="24"/>
                <w:szCs w:val="24"/>
              </w:rPr>
              <w:t>0.50</w:t>
            </w:r>
          </w:p>
        </w:tc>
      </w:tr>
    </w:tbl>
    <w:p w14:paraId="0ED30B32">
      <w:pPr>
        <w:spacing w:before="60" w:after="20" w:line="360" w:lineRule="auto"/>
        <w:jc w:val="both"/>
      </w:pPr>
      <w:r>
        <w:rPr>
          <w:b/>
          <w:sz w:val="24"/>
          <w:szCs w:val="24"/>
        </w:rPr>
        <w:t>1. Executive Overview</w:t>
      </w:r>
    </w:p>
    <w:p w14:paraId="40B854FB">
      <w:pPr>
        <w:spacing w:after="40" w:line="360" w:lineRule="auto"/>
        <w:jc w:val="both"/>
        <w:rPr>
          <w:sz w:val="20"/>
          <w:szCs w:val="24"/>
        </w:rPr>
      </w:pPr>
      <w:r>
        <w:rPr>
          <w:sz w:val="20"/>
          <w:szCs w:val="24"/>
        </w:rPr>
        <w:t>The Power BI dashboard shows a total inventory value of approximately 52.73M and an inventory turnover of 0.50. This indicates that a substantial amount of working capital is tied up in inventory and that inventory is moving relatively slowly. The dashboard also identifies 967 products below their reorder level, with an understock percentage of 9.67%, creating a potential stockout risk.</w:t>
      </w:r>
    </w:p>
    <w:p w14:paraId="7B28B99D">
      <w:pPr>
        <w:spacing w:before="60" w:after="20" w:line="360" w:lineRule="auto"/>
        <w:jc w:val="both"/>
        <w:rPr>
          <w:sz w:val="24"/>
          <w:szCs w:val="24"/>
        </w:rPr>
      </w:pPr>
      <w:r>
        <w:rPr>
          <w:b/>
          <w:sz w:val="24"/>
          <w:szCs w:val="24"/>
        </w:rPr>
        <w:t>2. Inventory Insights</w:t>
      </w:r>
    </w:p>
    <w:p w14:paraId="3D8471DA">
      <w:pPr>
        <w:spacing w:after="40" w:line="360" w:lineRule="auto"/>
        <w:jc w:val="both"/>
        <w:rPr>
          <w:sz w:val="20"/>
          <w:szCs w:val="24"/>
        </w:rPr>
      </w:pPr>
      <w:r>
        <w:rPr>
          <w:sz w:val="20"/>
          <w:szCs w:val="24"/>
        </w:rPr>
        <w:t>The stock-status analysis is the key finding: approximately 89.78% of products are classified as Overstock, while 9.67% are Understocked and only about 0.55% are Optimal. This indicates a major imbalance in inventory levels—excess stock exists alongside products that require replenishment. The category chart shows Meat with the highest inventory value (about 6.4M), followed by Produce (about 6.2M). Among the top products, Chicken has the highest inventory value at about 1.43M, followed by Tea at about 1.42M.</w:t>
      </w:r>
    </w:p>
    <w:p w14:paraId="0DA23148">
      <w:pPr>
        <w:spacing w:before="60" w:after="20" w:line="360" w:lineRule="auto"/>
        <w:jc w:val="both"/>
        <w:rPr>
          <w:sz w:val="24"/>
          <w:szCs w:val="24"/>
        </w:rPr>
      </w:pPr>
      <w:r>
        <w:rPr>
          <w:b/>
          <w:sz w:val="24"/>
          <w:szCs w:val="24"/>
        </w:rPr>
        <w:t>3. Sales &amp; Supplier Performance</w:t>
      </w:r>
    </w:p>
    <w:p w14:paraId="70087ED3">
      <w:pPr>
        <w:spacing w:after="40" w:line="360" w:lineRule="auto"/>
        <w:jc w:val="both"/>
        <w:rPr>
          <w:sz w:val="20"/>
          <w:szCs w:val="24"/>
        </w:rPr>
      </w:pPr>
      <w:r>
        <w:rPr>
          <w:sz w:val="20"/>
          <w:szCs w:val="24"/>
        </w:rPr>
        <w:t>Monthly sales are approximately 4.48M in January, 4.31M in February, 4.40M in March, 4.48M in April, 4.40M in May and 4.27M in June. Sales therefore decline toward June. The supplier dashboard shows average lead times of about 10 days for the displayed suppliers. The dashboard does not visually distinguish a single longest-lead-time supplier; the visible suppliers are all shown at 10.0 days. Delivery time by stock status is 5.50 days for Overstock, 5.47 days for Understock and 4.76 days for Optimal.</w:t>
      </w:r>
    </w:p>
    <w:p w14:paraId="16E1E1A0">
      <w:pPr>
        <w:spacing w:before="60" w:after="20" w:line="360" w:lineRule="auto"/>
        <w:jc w:val="both"/>
        <w:rPr>
          <w:sz w:val="24"/>
          <w:szCs w:val="24"/>
        </w:rPr>
      </w:pPr>
      <w:r>
        <w:rPr>
          <w:b/>
          <w:sz w:val="24"/>
          <w:szCs w:val="24"/>
        </w:rPr>
        <w:t>4. Answers to the Required Business Questions</w:t>
      </w:r>
    </w:p>
    <w:p w14:paraId="41849422">
      <w:pPr>
        <w:spacing w:after="24" w:line="360" w:lineRule="auto"/>
        <w:ind w:left="173" w:hanging="173"/>
        <w:jc w:val="both"/>
        <w:rPr>
          <w:sz w:val="20"/>
          <w:szCs w:val="20"/>
        </w:rPr>
      </w:pPr>
      <w:r>
        <w:rPr>
          <w:b/>
          <w:sz w:val="20"/>
          <w:szCs w:val="20"/>
        </w:rPr>
        <w:t xml:space="preserve">Total inventory value: </w:t>
      </w:r>
      <w:r>
        <w:rPr>
          <w:sz w:val="20"/>
          <w:szCs w:val="20"/>
        </w:rPr>
        <w:t>52.73M.</w:t>
      </w:r>
    </w:p>
    <w:p w14:paraId="77A217CE">
      <w:pPr>
        <w:spacing w:after="24" w:line="360" w:lineRule="auto"/>
        <w:ind w:left="173" w:hanging="173"/>
        <w:jc w:val="both"/>
        <w:rPr>
          <w:sz w:val="20"/>
          <w:szCs w:val="20"/>
        </w:rPr>
      </w:pPr>
      <w:r>
        <w:rPr>
          <w:b/>
          <w:sz w:val="20"/>
          <w:szCs w:val="20"/>
        </w:rPr>
        <w:t xml:space="preserve">Which categories are overstocked? </w:t>
      </w:r>
      <w:r>
        <w:rPr>
          <w:sz w:val="20"/>
          <w:szCs w:val="20"/>
        </w:rPr>
        <w:t>The dashboard confirms overall overstocking (89.78%), but the category visual displays inventory value rather than stock status. Therefore, specific overstocked categories cannot be identified from this dashboard alone. Meat has the highest inventory value at about 6.4M.</w:t>
      </w:r>
    </w:p>
    <w:p w14:paraId="7441902A">
      <w:pPr>
        <w:spacing w:after="24" w:line="360" w:lineRule="auto"/>
        <w:ind w:left="173" w:hanging="173"/>
        <w:jc w:val="both"/>
        <w:rPr>
          <w:sz w:val="20"/>
          <w:szCs w:val="20"/>
        </w:rPr>
      </w:pPr>
      <w:r>
        <w:rPr>
          <w:b/>
          <w:sz w:val="20"/>
          <w:szCs w:val="20"/>
        </w:rPr>
        <w:t xml:space="preserve">Which products are at risk of stockout? </w:t>
      </w:r>
      <w:r>
        <w:rPr>
          <w:sz w:val="20"/>
          <w:szCs w:val="20"/>
        </w:rPr>
        <w:t>967 products are below reorder level and represent the main stockout-risk group.</w:t>
      </w:r>
    </w:p>
    <w:p w14:paraId="4835F5FE">
      <w:pPr>
        <w:spacing w:after="24" w:line="360" w:lineRule="auto"/>
        <w:ind w:left="173" w:hanging="173"/>
        <w:jc w:val="both"/>
        <w:rPr>
          <w:sz w:val="20"/>
          <w:szCs w:val="20"/>
        </w:rPr>
      </w:pPr>
      <w:r>
        <w:rPr>
          <w:b/>
          <w:sz w:val="20"/>
          <w:szCs w:val="20"/>
        </w:rPr>
        <w:t xml:space="preserve">Which supplier has the longest lead time? </w:t>
      </w:r>
      <w:r>
        <w:rPr>
          <w:sz w:val="20"/>
          <w:szCs w:val="20"/>
        </w:rPr>
        <w:t>The visible supplier analysis shows 10.0 days for the displayed suppliers; no single longest supplier is distinguishable from the screenshot.</w:t>
      </w:r>
    </w:p>
    <w:p w14:paraId="46204B56">
      <w:pPr>
        <w:spacing w:after="24" w:line="360" w:lineRule="auto"/>
        <w:ind w:left="173" w:hanging="173"/>
        <w:jc w:val="both"/>
        <w:rPr>
          <w:sz w:val="21"/>
          <w:szCs w:val="21"/>
        </w:rPr>
      </w:pPr>
      <w:r>
        <w:rPr>
          <w:b/>
          <w:sz w:val="20"/>
          <w:szCs w:val="20"/>
        </w:rPr>
        <w:t xml:space="preserve">Two strategic recommendations: </w:t>
      </w:r>
      <w:r>
        <w:rPr>
          <w:sz w:val="20"/>
          <w:szCs w:val="20"/>
        </w:rPr>
        <w:t>1) Reduce excess inventory using demand forecasting, optimized reorder points and safety-stock levels. 2) Prevent stockouts through automated reorder alerts and priority replenishment of high-demand understocked products</w:t>
      </w:r>
      <w:r>
        <w:rPr>
          <w:sz w:val="21"/>
          <w:szCs w:val="21"/>
        </w:rPr>
        <w:t>.</w:t>
      </w:r>
      <w:bookmarkStart w:id="0" w:name="_GoBack"/>
      <w:bookmarkEnd w:id="0"/>
    </w:p>
    <w:p w14:paraId="624102A3">
      <w:pPr>
        <w:spacing w:before="60" w:after="20" w:line="360" w:lineRule="auto"/>
        <w:jc w:val="both"/>
        <w:rPr>
          <w:sz w:val="24"/>
          <w:szCs w:val="24"/>
        </w:rPr>
      </w:pPr>
      <w:r>
        <w:rPr>
          <w:b/>
          <w:sz w:val="24"/>
          <w:szCs w:val="24"/>
        </w:rPr>
        <w:t>5. Conclusion</w:t>
      </w:r>
    </w:p>
    <w:p w14:paraId="0735EE12">
      <w:pPr>
        <w:spacing w:after="40" w:line="360" w:lineRule="auto"/>
        <w:jc w:val="both"/>
        <w:rPr>
          <w:sz w:val="20"/>
          <w:szCs w:val="24"/>
        </w:rPr>
      </w:pPr>
      <w:r>
        <w:rPr>
          <w:sz w:val="20"/>
          <w:szCs w:val="24"/>
        </w:rPr>
        <w:t>Overall, the dashboard indicates a significant inventory imbalance: the business is carrying large amounts of excess stock while a smaller but important group of products is below reorder level. Improving demand forecasting, replenishment policies and inventory monitoring should help reduce holding costs, improve turnover, release working capital and reduce stockout risk.</w:t>
      </w:r>
    </w:p>
    <w:sectPr>
      <w:footerReference r:id="rId5" w:type="default"/>
      <w:pgSz w:w="12240" w:h="15840"/>
      <w:pgMar w:top="648" w:right="792" w:bottom="648"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A00002BF" w:usb1="68C7FCFB" w:usb2="00000010" w:usb3="00000000" w:csb0="4002009F" w:csb1="DFD7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403AD">
    <w:pPr>
      <w:pStyle w:val="18"/>
      <w:jc w:val="center"/>
    </w:pPr>
    <w:r>
      <w:rPr>
        <w:sz w:val="16"/>
      </w:rPr>
      <w:t>Power BI – Supply Chain &amp; Inventory Analytics | Part 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841FB"/>
    <w:rsid w:val="14DD044C"/>
    <w:rsid w:val="1E726D03"/>
    <w:rsid w:val="22DF1DC6"/>
    <w:rsid w:val="30021B53"/>
    <w:rsid w:val="5AC2497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435</Words>
  <Characters>2556</Characters>
  <Lines>0</Lines>
  <Paragraphs>0</Paragraphs>
  <TotalTime>3</TotalTime>
  <ScaleCrop>false</ScaleCrop>
  <LinksUpToDate>false</LinksUpToDate>
  <CharactersWithSpaces>2967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WPS_1676346948</cp:lastModifiedBy>
  <dcterms:modified xsi:type="dcterms:W3CDTF">2026-09-11T22:55:27Z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eyJoZGlkIjoiOTQ3ZjAxZTAxNjc0ODc5Zjg1N2UzZmVjYzIyMjg3OGUiLCJ1c2VySWQiOiI1NjczNTMzMTg2MzkifQ==</vt:lpwstr>
  </property>
  <property fmtid="{D5CDD505-2E9C-101B-9397-08002B2CF9AE}" pid="3" name="KSOProductBuildVer">
    <vt:lpwstr>1033-12.1.0.28485</vt:lpwstr>
  </property>
  <property fmtid="{D5CDD505-2E9C-101B-9397-08002B2CF9AE}" pid="4" name="ICV">
    <vt:lpwstr>0739C02635624A6C9227B5FABE4DB790_13</vt:lpwstr>
  </property>
</Properties>
</file>