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BCF2C" w14:textId="77777777" w:rsidR="004F3A75" w:rsidRPr="00FE3049" w:rsidRDefault="009623AC" w:rsidP="00FE3049">
      <w:pPr>
        <w:pStyle w:val="FirstParagraph"/>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Functional roles of plants in pollinator interactions are systematically under-detected by conventional network methods</w:t>
      </w:r>
    </w:p>
    <w:p w14:paraId="33778D4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Abstract</w:t>
      </w:r>
    </w:p>
    <w:p w14:paraId="0C746CF0"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1.</w:t>
      </w:r>
      <w:r w:rsidRPr="00FE3049">
        <w:rPr>
          <w:rFonts w:ascii="Times New Roman" w:hAnsi="Times New Roman" w:cs="Times New Roman"/>
          <w:color w:val="000000" w:themeColor="text1"/>
        </w:rPr>
        <w:t xml:space="preserve"> </w:t>
      </w:r>
      <w:r w:rsidRPr="00FE3049">
        <w:rPr>
          <w:rFonts w:ascii="Times New Roman" w:hAnsi="Times New Roman" w:cs="Times New Roman"/>
          <w:color w:val="000000" w:themeColor="text1"/>
        </w:rPr>
        <w:t>Plant–pollinator interaction networks are shaped as much by the methods used to construct them as by the ecology they describe. Most networks rely on a single methodology — typically field observation of floral visitation — capturing only one functional ou</w:t>
      </w:r>
      <w:r w:rsidRPr="00FE3049">
        <w:rPr>
          <w:rFonts w:ascii="Times New Roman" w:hAnsi="Times New Roman" w:cs="Times New Roman"/>
          <w:color w:val="000000" w:themeColor="text1"/>
        </w:rPr>
        <w:t>tcome of plant–pollinator contact and systematically excluding interactions involving consumption of dietary resources or transport of pollen to nests. This methodological approach distorts which plant taxa appear most important and how specialized pollina</w:t>
      </w:r>
      <w:r w:rsidRPr="00FE3049">
        <w:rPr>
          <w:rFonts w:ascii="Times New Roman" w:hAnsi="Times New Roman" w:cs="Times New Roman"/>
          <w:color w:val="000000" w:themeColor="text1"/>
        </w:rPr>
        <w:t>tors seem.</w:t>
      </w:r>
    </w:p>
    <w:p w14:paraId="6983DBDF"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2.</w:t>
      </w:r>
      <w:r w:rsidRPr="00FE3049">
        <w:rPr>
          <w:rFonts w:ascii="Times New Roman" w:hAnsi="Times New Roman" w:cs="Times New Roman"/>
          <w:color w:val="000000" w:themeColor="text1"/>
        </w:rPr>
        <w:t xml:space="preserve"> We build a plant interaction network with multiple functional links for the bumblebee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xml:space="preserve"> by integrating three complementary methodologies, each revealing a distinct functional outcome: field observation of floral visitation, gut</w:t>
      </w:r>
      <w:r w:rsidRPr="00FE3049">
        <w:rPr>
          <w:rFonts w:ascii="Times New Roman" w:hAnsi="Times New Roman" w:cs="Times New Roman"/>
          <w:color w:val="000000" w:themeColor="text1"/>
        </w:rPr>
        <w:t>-content metabarcoding of consumed plant taxa, and corbicular pollen metabarcoding of transported plant taxa. We compare network topology, plant importance, and apparent pollinator specialization across and between methods.</w:t>
      </w:r>
    </w:p>
    <w:p w14:paraId="0296EC0F"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3.</w:t>
      </w:r>
      <w:r w:rsidRPr="00FE3049">
        <w:rPr>
          <w:rFonts w:ascii="Times New Roman" w:hAnsi="Times New Roman" w:cs="Times New Roman"/>
          <w:color w:val="000000" w:themeColor="text1"/>
        </w:rPr>
        <w:t xml:space="preserve"> Combining approaches increase</w:t>
      </w:r>
      <w:r w:rsidRPr="00FE3049">
        <w:rPr>
          <w:rFonts w:ascii="Times New Roman" w:hAnsi="Times New Roman" w:cs="Times New Roman"/>
          <w:color w:val="000000" w:themeColor="text1"/>
        </w:rPr>
        <w:t xml:space="preserve">s detected plant interactions more than sixfold relative to field observation alone, revealing dietary links to plants — including anemophilous taxa — </w:t>
      </w:r>
      <w:proofErr w:type="gramStart"/>
      <w:r w:rsidRPr="00FE3049">
        <w:rPr>
          <w:rFonts w:ascii="Times New Roman" w:hAnsi="Times New Roman" w:cs="Times New Roman"/>
          <w:color w:val="000000" w:themeColor="text1"/>
        </w:rPr>
        <w:t>that conventional surveys</w:t>
      </w:r>
      <w:proofErr w:type="gramEnd"/>
      <w:r w:rsidRPr="00FE3049">
        <w:rPr>
          <w:rFonts w:ascii="Times New Roman" w:hAnsi="Times New Roman" w:cs="Times New Roman"/>
          <w:color w:val="000000" w:themeColor="text1"/>
        </w:rPr>
        <w:t xml:space="preserve"> exclude. Gut-content metabarcoding additionally exposes seasonal shifts in fora</w:t>
      </w:r>
      <w:r w:rsidRPr="00FE3049">
        <w:rPr>
          <w:rFonts w:ascii="Times New Roman" w:hAnsi="Times New Roman" w:cs="Times New Roman"/>
          <w:color w:val="000000" w:themeColor="text1"/>
        </w:rPr>
        <w:t xml:space="preserve">ging breadth consistent with active hunger-gap foraging before and after the floral peak, when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consumes a more diverse assemblage than the local entomophilous community provides. Field observations overstate specialization and produce less con</w:t>
      </w:r>
      <w:r w:rsidRPr="00FE3049">
        <w:rPr>
          <w:rFonts w:ascii="Times New Roman" w:hAnsi="Times New Roman" w:cs="Times New Roman"/>
          <w:color w:val="000000" w:themeColor="text1"/>
        </w:rPr>
        <w:t>sistent community characterizations across sites and time than either molecular approach.</w:t>
      </w:r>
    </w:p>
    <w:p w14:paraId="72EA9A18"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i/>
          <w:iCs/>
          <w:color w:val="000000" w:themeColor="text1"/>
        </w:rPr>
        <w:lastRenderedPageBreak/>
        <w:t>Synthesis.</w:t>
      </w:r>
      <w:r w:rsidRPr="00FE3049">
        <w:rPr>
          <w:rFonts w:ascii="Times New Roman" w:hAnsi="Times New Roman" w:cs="Times New Roman"/>
          <w:color w:val="000000" w:themeColor="text1"/>
        </w:rPr>
        <w:t xml:space="preserve"> Integrating visitation, transport, and consumption data fundamentally changes plant–pollinator network topology and the apparent roles of plant nodes. We a</w:t>
      </w:r>
      <w:r w:rsidRPr="00FE3049">
        <w:rPr>
          <w:rFonts w:ascii="Times New Roman" w:hAnsi="Times New Roman" w:cs="Times New Roman"/>
          <w:color w:val="000000" w:themeColor="text1"/>
        </w:rPr>
        <w:t>dvocate for defining interactions by their functional outcome and combining methods accordingly — an approach that reveals previously undetected structure in ecological networks and identifies which plant taxa warrant greater attention in pollinator habita</w:t>
      </w:r>
      <w:r w:rsidRPr="00FE3049">
        <w:rPr>
          <w:rFonts w:ascii="Times New Roman" w:hAnsi="Times New Roman" w:cs="Times New Roman"/>
          <w:color w:val="000000" w:themeColor="text1"/>
        </w:rPr>
        <w:t>t management.</w:t>
      </w:r>
    </w:p>
    <w:p w14:paraId="2D266FBA"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Introduction</w:t>
      </w:r>
    </w:p>
    <w:p w14:paraId="3698F76E"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Pollination is a critical ecosystem service that is currently threatened by global anthropogenic change, including habitat loss, intensifying agriculture, pathogens, and invasive species (Klein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2006). Despite the clear imp</w:t>
      </w:r>
      <w:r w:rsidRPr="00FE3049">
        <w:rPr>
          <w:rFonts w:ascii="Times New Roman" w:hAnsi="Times New Roman" w:cs="Times New Roman"/>
          <w:color w:val="000000" w:themeColor="text1"/>
        </w:rPr>
        <w:t xml:space="preserve">ortance of understanding plant-pollinator interactions, our knowledge of interaction diversity remains incomplete, as the methodological approach to studying plant-pollinator interactions has historically been biased towards the plant side of interactions </w:t>
      </w:r>
      <w:r w:rsidRPr="00FE3049">
        <w:rPr>
          <w:rFonts w:ascii="Times New Roman" w:hAnsi="Times New Roman" w:cs="Times New Roman"/>
          <w:color w:val="000000" w:themeColor="text1"/>
        </w:rPr>
        <w:t xml:space="preserve">(Bosch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2009; Evans &amp; Kitson 2020). As a consequence, the well-established relationship between pollinator diversity and the productivity of plant communities (Artamendi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2025) lacks an equally developed mirrored perspective, describing the flo</w:t>
      </w:r>
      <w:r w:rsidRPr="00FE3049">
        <w:rPr>
          <w:rFonts w:ascii="Times New Roman" w:hAnsi="Times New Roman" w:cs="Times New Roman"/>
          <w:color w:val="000000" w:themeColor="text1"/>
        </w:rPr>
        <w:t>ral diversity that supports pollinator populations.</w:t>
      </w:r>
    </w:p>
    <w:p w14:paraId="25590E08"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If the plant taxa that support pollinator populations are systematically misrepresented, the capacity to make effective management and conservation decisions is correspondingly limited. Ecological network</w:t>
      </w:r>
      <w:r w:rsidRPr="00FE3049">
        <w:rPr>
          <w:rFonts w:ascii="Times New Roman" w:hAnsi="Times New Roman" w:cs="Times New Roman"/>
          <w:color w:val="000000" w:themeColor="text1"/>
        </w:rPr>
        <w:t xml:space="preserve"> approaches provide a framework for describing the diversity and organization of plant–pollinator interactions and identifying the resources that support pollinator communities (Burkle &amp; Alarcón 2011), however, existing methodologies for reconstructing int</w:t>
      </w:r>
      <w:r w:rsidRPr="00FE3049">
        <w:rPr>
          <w:rFonts w:ascii="Times New Roman" w:hAnsi="Times New Roman" w:cs="Times New Roman"/>
          <w:color w:val="000000" w:themeColor="text1"/>
        </w:rPr>
        <w:t xml:space="preserve">eraction networks tend to emphasize structural patterns, while overlooking the functional outcomes of interactions that are critical for understanding how plant communities support pollinators (Quintero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In </w:t>
      </w:r>
      <w:r w:rsidRPr="00FE3049">
        <w:rPr>
          <w:rFonts w:ascii="Times New Roman" w:hAnsi="Times New Roman" w:cs="Times New Roman"/>
          <w:i/>
          <w:iCs/>
          <w:color w:val="000000" w:themeColor="text1"/>
        </w:rPr>
        <w:t>Apidae</w:t>
      </w:r>
      <w:r w:rsidRPr="00FE3049">
        <w:rPr>
          <w:rFonts w:ascii="Times New Roman" w:hAnsi="Times New Roman" w:cs="Times New Roman"/>
          <w:color w:val="000000" w:themeColor="text1"/>
        </w:rPr>
        <w:t>, for example, plant interacti</w:t>
      </w:r>
      <w:r w:rsidRPr="00FE3049">
        <w:rPr>
          <w:rFonts w:ascii="Times New Roman" w:hAnsi="Times New Roman" w:cs="Times New Roman"/>
          <w:color w:val="000000" w:themeColor="text1"/>
        </w:rPr>
        <w:t xml:space="preserve">ons may have several </w:t>
      </w:r>
      <w:r w:rsidRPr="00FE3049">
        <w:rPr>
          <w:rFonts w:ascii="Times New Roman" w:hAnsi="Times New Roman" w:cs="Times New Roman"/>
          <w:color w:val="000000" w:themeColor="text1"/>
        </w:rPr>
        <w:lastRenderedPageBreak/>
        <w:t xml:space="preserve">outcomes. Bees consume plant material, including pollen, nectar, or even plant tissue (Vaudo 2015; Pashalidou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2020). They also collect pollen on their corbicula, which is transported to the nest for brood provisioning (Vaudo 201</w:t>
      </w:r>
      <w:r w:rsidRPr="00FE3049">
        <w:rPr>
          <w:rFonts w:ascii="Times New Roman" w:hAnsi="Times New Roman" w:cs="Times New Roman"/>
          <w:color w:val="000000" w:themeColor="text1"/>
        </w:rPr>
        <w:t xml:space="preserve">5; Leach &amp; Drummond 2018). Finally, visitation of the reproductive parts of flowers can have various outcomes for both the plant and pollinator, including pollen transfer (Emer &amp; Memmott 2023) and pathogen transfer (Lignon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Interaction network</w:t>
      </w:r>
      <w:r w:rsidRPr="00FE3049">
        <w:rPr>
          <w:rFonts w:ascii="Times New Roman" w:hAnsi="Times New Roman" w:cs="Times New Roman"/>
          <w:color w:val="000000" w:themeColor="text1"/>
        </w:rPr>
        <w:t>s generally represent only one of these outcomes, although each is important to understanding how plant taxa support pollinators, particularly across different life stages.</w:t>
      </w:r>
    </w:p>
    <w:p w14:paraId="647BFEED"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Because the resources needed for foraging adult pollinators are different from thos</w:t>
      </w:r>
      <w:r w:rsidRPr="00FE3049">
        <w:rPr>
          <w:rFonts w:ascii="Times New Roman" w:hAnsi="Times New Roman" w:cs="Times New Roman"/>
          <w:color w:val="000000" w:themeColor="text1"/>
        </w:rPr>
        <w:t>e needed by larvae or other colony members (Vaudo 2015; Leach &amp; Drummond 2018), transported pollen may not completely represent the interactions necessary to sustain adult pollinators. This is especially true for bumblebees (</w:t>
      </w:r>
      <w:r w:rsidRPr="00FE3049">
        <w:rPr>
          <w:rFonts w:ascii="Times New Roman" w:hAnsi="Times New Roman" w:cs="Times New Roman"/>
          <w:i/>
          <w:iCs/>
          <w:color w:val="000000" w:themeColor="text1"/>
        </w:rPr>
        <w:t>Bombus spp.</w:t>
      </w:r>
      <w:r w:rsidRPr="00FE3049">
        <w:rPr>
          <w:rFonts w:ascii="Times New Roman" w:hAnsi="Times New Roman" w:cs="Times New Roman"/>
          <w:color w:val="000000" w:themeColor="text1"/>
        </w:rPr>
        <w:t>), which are able to</w:t>
      </w:r>
      <w:r w:rsidRPr="00FE3049">
        <w:rPr>
          <w:rFonts w:ascii="Times New Roman" w:hAnsi="Times New Roman" w:cs="Times New Roman"/>
          <w:color w:val="000000" w:themeColor="text1"/>
        </w:rPr>
        <w:t xml:space="preserve"> evaluate pollen resource quality to discern foraging choices (Leonhardt &amp; Blüthgen 2012; Timberlake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2024a). Bumblebees make trial-and-error floral visits in order to find adequate forage (Selva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sometimes resulting in pollen transport </w:t>
      </w:r>
      <w:r w:rsidRPr="00FE3049">
        <w:rPr>
          <w:rFonts w:ascii="Times New Roman" w:hAnsi="Times New Roman" w:cs="Times New Roman"/>
          <w:color w:val="000000" w:themeColor="text1"/>
        </w:rPr>
        <w:t xml:space="preserve">without consumption. Conversely, consumption, or simply visitation, may occur without resulting in transport (Popic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2012).</w:t>
      </w:r>
    </w:p>
    <w:p w14:paraId="03EFC8E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Metagenomics, including metabarcoding, has emerged as a powerful tool for detecting plant-pollinator interactions that may be </w:t>
      </w:r>
      <w:r w:rsidRPr="00FE3049">
        <w:rPr>
          <w:rFonts w:ascii="Times New Roman" w:hAnsi="Times New Roman" w:cs="Times New Roman"/>
          <w:color w:val="000000" w:themeColor="text1"/>
        </w:rPr>
        <w:t xml:space="preserve">unobserved in pollen microscopy and field surveys (Bell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2016; Pornon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Lowe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in some cases increasing interaction species detection by 9 - 144% (Smart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Milla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Baksay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and network sampling c</w:t>
      </w:r>
      <w:r w:rsidRPr="00FE3049">
        <w:rPr>
          <w:rFonts w:ascii="Times New Roman" w:hAnsi="Times New Roman" w:cs="Times New Roman"/>
          <w:color w:val="000000" w:themeColor="text1"/>
        </w:rPr>
        <w:t xml:space="preserve">ompleteness up to 30%, while reducing exaggeration of specialization (Arstingstall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2021), as well as revealing interactions beyond the traditionally surveyed anemophilous floral community (de Vere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Milla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Advances in the rel</w:t>
      </w:r>
      <w:r w:rsidRPr="00FE3049">
        <w:rPr>
          <w:rFonts w:ascii="Times New Roman" w:hAnsi="Times New Roman" w:cs="Times New Roman"/>
          <w:color w:val="000000" w:themeColor="text1"/>
        </w:rPr>
        <w:t xml:space="preserve">iability and accessibility </w:t>
      </w:r>
      <w:r w:rsidRPr="00FE3049">
        <w:rPr>
          <w:rFonts w:ascii="Times New Roman" w:hAnsi="Times New Roman" w:cs="Times New Roman"/>
          <w:color w:val="000000" w:themeColor="text1"/>
        </w:rPr>
        <w:lastRenderedPageBreak/>
        <w:t>of sequencing technologies have made molecular approaches more feasible for studying plant-pollinator interactions.</w:t>
      </w:r>
    </w:p>
    <w:p w14:paraId="20FA201B"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Most pollination studies applying metabarcoding focus on the external pollen loads of bees or pollen stored in ne</w:t>
      </w:r>
      <w:r w:rsidRPr="00FE3049">
        <w:rPr>
          <w:rFonts w:ascii="Times New Roman" w:hAnsi="Times New Roman" w:cs="Times New Roman"/>
          <w:color w:val="000000" w:themeColor="text1"/>
        </w:rPr>
        <w:t xml:space="preserve">st reserves of honey or beebread (Leontidou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2021; Baksay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Leponiemi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2023; Devriese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Selva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despite the limitations of these sampling targets owed to environmental contamination (Negri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2015). Beyond </w:t>
      </w:r>
      <w:r w:rsidRPr="00FE3049">
        <w:rPr>
          <w:rFonts w:ascii="Times New Roman" w:hAnsi="Times New Roman" w:cs="Times New Roman"/>
          <w:color w:val="000000" w:themeColor="text1"/>
        </w:rPr>
        <w:t>potential contamination, externally transported pollen has an inherently restricted capacity for representing interaction types. For example, corbicular loads are made from pollen collected for transport to the nest for brood feeding (Vaudo 2015; Leach &amp; D</w:t>
      </w:r>
      <w:r w:rsidRPr="00FE3049">
        <w:rPr>
          <w:rFonts w:ascii="Times New Roman" w:hAnsi="Times New Roman" w:cs="Times New Roman"/>
          <w:color w:val="000000" w:themeColor="text1"/>
        </w:rPr>
        <w:t xml:space="preserve">rummond 2018), only directly representing pollen transport interactions (Arstingstall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2021). This pollen is often the central sample type used to represent foraging networks, where it is considered synonymous with diet and successful pollination int</w:t>
      </w:r>
      <w:r w:rsidRPr="00FE3049">
        <w:rPr>
          <w:rFonts w:ascii="Times New Roman" w:hAnsi="Times New Roman" w:cs="Times New Roman"/>
          <w:color w:val="000000" w:themeColor="text1"/>
        </w:rPr>
        <w:t xml:space="preserve">eractions (Shi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2025), likely overstating the functional role of certain plant taxa within plant-pollinator networks.</w:t>
      </w:r>
    </w:p>
    <w:p w14:paraId="36AE6069"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Pollinator intestinal tracts contain pollen and other plant material that can reveal interactions (Mayr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2021; Haag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w:t>
      </w:r>
      <w:r w:rsidRPr="00FE3049">
        <w:rPr>
          <w:rFonts w:ascii="Times New Roman" w:hAnsi="Times New Roman" w:cs="Times New Roman"/>
          <w:color w:val="000000" w:themeColor="text1"/>
        </w:rPr>
        <w:t xml:space="preserve">3; Li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2025) </w:t>
      </w:r>
      <w:r w:rsidRPr="00FE3049">
        <w:rPr>
          <w:rFonts w:ascii="Times New Roman" w:hAnsi="Times New Roman" w:cs="Times New Roman"/>
          <w:color w:val="000000" w:themeColor="text1"/>
        </w:rPr>
        <w:t xml:space="preserve">with consumption as the exclusive outcome. There is an accumulating body of evidence supporting the idea that pollinators regularly search across functional groups of the plant community to meet their nutritional needs (de Vere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Tanaka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w:t>
      </w:r>
      <w:r w:rsidRPr="00FE3049">
        <w:rPr>
          <w:rFonts w:ascii="Times New Roman" w:hAnsi="Times New Roman" w:cs="Times New Roman"/>
          <w:color w:val="000000" w:themeColor="text1"/>
        </w:rPr>
        <w:t xml:space="preserve">020; Milla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Wood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Timberlake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2024a; Selva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Ibiyemi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2025), although little attention has been given to these observations as a potentially important part of plant-pollinator interaction networks (Saunders 20</w:t>
      </w:r>
      <w:r w:rsidRPr="00FE3049">
        <w:rPr>
          <w:rFonts w:ascii="Times New Roman" w:hAnsi="Times New Roman" w:cs="Times New Roman"/>
          <w:color w:val="000000" w:themeColor="text1"/>
        </w:rPr>
        <w:t xml:space="preserve">18). The understudied nature of the roles played by different functional groups of plant taxa in pollinator interaction networks, together with the surprising lack of genetic analyses of pollinator gut contents, represent a clear opportunity for deepening </w:t>
      </w:r>
      <w:r w:rsidRPr="00FE3049">
        <w:rPr>
          <w:rFonts w:ascii="Times New Roman" w:hAnsi="Times New Roman" w:cs="Times New Roman"/>
          <w:color w:val="000000" w:themeColor="text1"/>
        </w:rPr>
        <w:t>our knowledge of pollination ecology.</w:t>
      </w:r>
    </w:p>
    <w:p w14:paraId="5AB56340"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lastRenderedPageBreak/>
        <w:t>We assess whether metabarcoding of pollinator gut contents can complement the characterization of plant-pollinator interaction networks described by more common methodologies, including field observations, and external</w:t>
      </w:r>
      <w:r w:rsidRPr="00FE3049">
        <w:rPr>
          <w:rFonts w:ascii="Times New Roman" w:hAnsi="Times New Roman" w:cs="Times New Roman"/>
          <w:color w:val="000000" w:themeColor="text1"/>
        </w:rPr>
        <w:t xml:space="preserve"> pollen load metabarcoding. To this end, we compare interaction diversity and frequencies recorded by each of these methodologies for the wild bumblebee,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Because gut contents directly reflect ingested resources, this approach may reveal i</w:t>
      </w:r>
      <w:r w:rsidRPr="00FE3049">
        <w:rPr>
          <w:rFonts w:ascii="Times New Roman" w:hAnsi="Times New Roman" w:cs="Times New Roman"/>
          <w:color w:val="000000" w:themeColor="text1"/>
        </w:rPr>
        <w:t>nteractions that are undetected by observational or external pollen-based methods. We therefore expect that gut metabarcoding will identify a unique group of plant taxa compared to those detected by other methodologies, while also showing partial overlap a</w:t>
      </w:r>
      <w:r w:rsidRPr="00FE3049">
        <w:rPr>
          <w:rFonts w:ascii="Times New Roman" w:hAnsi="Times New Roman" w:cs="Times New Roman"/>
          <w:color w:val="000000" w:themeColor="text1"/>
        </w:rPr>
        <w:t>cross approaches in the plant species interacting with bumblebees.</w:t>
      </w:r>
    </w:p>
    <w:p w14:paraId="7BAD768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Methods</w:t>
      </w:r>
    </w:p>
    <w:p w14:paraId="48A9D31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Our sample collection was conducted in Gorbeia Natural Park (coord: 43.068, -2.796), a protected area in the Basque Country of Northern Spain. We selected 16 sampling sites located </w:t>
      </w:r>
      <w:r w:rsidRPr="00FE3049">
        <w:rPr>
          <w:rFonts w:ascii="Times New Roman" w:hAnsi="Times New Roman" w:cs="Times New Roman"/>
          <w:color w:val="000000" w:themeColor="text1"/>
        </w:rPr>
        <w:t>within the mixed zones of meadows and shrublands around or above 800 m a.sl.. We conducted fieldwork from early April to the end of July, 2023, covering the main flowering season and peak annual pollinator activity. Each site was visited six times througho</w:t>
      </w:r>
      <w:r w:rsidRPr="00FE3049">
        <w:rPr>
          <w:rFonts w:ascii="Times New Roman" w:hAnsi="Times New Roman" w:cs="Times New Roman"/>
          <w:color w:val="000000" w:themeColor="text1"/>
        </w:rPr>
        <w:t xml:space="preserve">ut the flowering season, separated by approximately two-week periods. During each visit, we conducted three types of surveys: (1) floral diversity surveys (“flower counts”), (2) interaction transect surveys, and (3)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xml:space="preserve"> specimen collection for</w:t>
      </w:r>
      <w:r w:rsidRPr="00FE3049">
        <w:rPr>
          <w:rFonts w:ascii="Times New Roman" w:hAnsi="Times New Roman" w:cs="Times New Roman"/>
          <w:color w:val="000000" w:themeColor="text1"/>
        </w:rPr>
        <w:t xml:space="preserve"> metabarcoding analyses.</w:t>
      </w:r>
    </w:p>
    <w:p w14:paraId="361316E8"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For both interaction transect and flower count surveys we used one 250 m transect at each site, recording observations within a ~2 m wide transect line. Interaction surveys were conducted three times per day (~11:00, ~13:00, ~15:00</w:t>
      </w:r>
      <w:r w:rsidRPr="00FE3049">
        <w:rPr>
          <w:rFonts w:ascii="Times New Roman" w:hAnsi="Times New Roman" w:cs="Times New Roman"/>
          <w:color w:val="000000" w:themeColor="text1"/>
        </w:rPr>
        <w:t xml:space="preserve">), each lasting 1 h. We recorded all observations of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xml:space="preserve"> individuals contacting the reproductive parts of herbaceous flowers. For </w:t>
      </w:r>
      <w:r w:rsidRPr="00FE3049">
        <w:rPr>
          <w:rFonts w:ascii="Times New Roman" w:hAnsi="Times New Roman" w:cs="Times New Roman"/>
          <w:color w:val="000000" w:themeColor="text1"/>
        </w:rPr>
        <w:lastRenderedPageBreak/>
        <w:t>each site and sampling period, one flower count was conducted by recording all of the flowering herbaceous specie</w:t>
      </w:r>
      <w:r w:rsidRPr="00FE3049">
        <w:rPr>
          <w:rFonts w:ascii="Times New Roman" w:hAnsi="Times New Roman" w:cs="Times New Roman"/>
          <w:color w:val="000000" w:themeColor="text1"/>
        </w:rPr>
        <w:t>s within the transect.</w:t>
      </w:r>
    </w:p>
    <w:p w14:paraId="1562930F"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For every period visit at each site, we collected up to five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specimens for molecular analyses (N = 126). We brought specimens back from the field and froze them at -20°C until processed. In the lab, we extracted the enti</w:t>
      </w:r>
      <w:r w:rsidRPr="00FE3049">
        <w:rPr>
          <w:rFonts w:ascii="Times New Roman" w:hAnsi="Times New Roman" w:cs="Times New Roman"/>
          <w:color w:val="000000" w:themeColor="text1"/>
        </w:rPr>
        <w:t>re gut and honey stomach and, if present, collected pollen from the corbicula of specimens into sterile 1.5 mL centrifuge tubes. Pollen samples were stored individually by specimen sample at -20°C.</w:t>
      </w:r>
    </w:p>
    <w:p w14:paraId="01B05296"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Genomic DNA was extracted from guts using the NucleoSpin® </w:t>
      </w:r>
      <w:r w:rsidRPr="00FE3049">
        <w:rPr>
          <w:rFonts w:ascii="Times New Roman" w:hAnsi="Times New Roman" w:cs="Times New Roman"/>
          <w:color w:val="000000" w:themeColor="text1"/>
        </w:rPr>
        <w:t>96 Soil kit (Macherey-Nagel, Düren, Germany). To avoid site and period bias, all samples were randomized before the DNA extraction. We followed the kit manufacturer protocol, only adjusting centrifuge spin duration to account for differing maximum velocity</w:t>
      </w:r>
      <w:r w:rsidRPr="00FE3049">
        <w:rPr>
          <w:rFonts w:ascii="Times New Roman" w:hAnsi="Times New Roman" w:cs="Times New Roman"/>
          <w:color w:val="000000" w:themeColor="text1"/>
        </w:rPr>
        <w:t xml:space="preserve"> available within our centrifuge (Appendix S1: Section 1). Nanodrop spectrophotometry was used to quantify DNA concentration and purity of a random subset of extracts by measuring reflectance at 260/230 nm wavelengths.</w:t>
      </w:r>
    </w:p>
    <w:p w14:paraId="645CF77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DNA was extracted from pollen pellets</w:t>
      </w:r>
      <w:r w:rsidRPr="00FE3049">
        <w:rPr>
          <w:rFonts w:ascii="Times New Roman" w:hAnsi="Times New Roman" w:cs="Times New Roman"/>
          <w:color w:val="000000" w:themeColor="text1"/>
        </w:rPr>
        <w:t xml:space="preserve"> (N = 25) using the Machery-Nagel NucleoSpin® 8 Food kit, including additional initial steps recommended by the kit’s supplementary protocol for pollen DNA extraction (Appendix S1: Section 2). A Qubit high sensitivity dsDNA kit (Thermo Fisher Scientific) w</w:t>
      </w:r>
      <w:r w:rsidRPr="00FE3049">
        <w:rPr>
          <w:rFonts w:ascii="Times New Roman" w:hAnsi="Times New Roman" w:cs="Times New Roman"/>
          <w:color w:val="000000" w:themeColor="text1"/>
        </w:rPr>
        <w:t>as used to quantify DNA extract concentrations for randomly selected samples.</w:t>
      </w:r>
    </w:p>
    <w:p w14:paraId="5D8D97A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Gut-content DNA extracts were amplified in duplicate using a dual-indexed, two-step PCR method described by Donald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Briefly, the ITS2 region was amplified using the</w:t>
      </w:r>
      <w:r w:rsidRPr="00FE3049">
        <w:rPr>
          <w:rFonts w:ascii="Times New Roman" w:hAnsi="Times New Roman" w:cs="Times New Roman"/>
          <w:color w:val="000000" w:themeColor="text1"/>
        </w:rPr>
        <w:t xml:space="preserve"> primers, ITS-S2F (ATGCGATACTTGGTGTGAAT) (Chen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2010) and ITS4R (TCCTCCGCTTATTGATATGC) (White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1990). The resulting amplicons were pooled in equal volumes, purified using SPRI-beads, and used as templates in the second-step PCR to </w:t>
      </w:r>
      <w:r w:rsidRPr="00FE3049">
        <w:rPr>
          <w:rFonts w:ascii="Times New Roman" w:hAnsi="Times New Roman" w:cs="Times New Roman"/>
          <w:color w:val="000000" w:themeColor="text1"/>
        </w:rPr>
        <w:lastRenderedPageBreak/>
        <w:t>attach unique</w:t>
      </w:r>
      <w:r w:rsidRPr="00FE3049">
        <w:rPr>
          <w:rFonts w:ascii="Times New Roman" w:hAnsi="Times New Roman" w:cs="Times New Roman"/>
          <w:color w:val="000000" w:themeColor="text1"/>
        </w:rPr>
        <w:t xml:space="preserve"> dual indices and Illumina p5/p7 sequencing primers. Amplicons were purified and size-selected using SPRI-beads and pooled in a final library (see Appendix S1 for full library preparation), which was sequenced on an Illumina MiSeq instrument for 300 cycles</w:t>
      </w:r>
      <w:r w:rsidRPr="00FE3049">
        <w:rPr>
          <w:rFonts w:ascii="Times New Roman" w:hAnsi="Times New Roman" w:cs="Times New Roman"/>
          <w:color w:val="000000" w:themeColor="text1"/>
        </w:rPr>
        <w:t xml:space="preserve"> in paired-end mode at the Ecological Genetics laboratory, Bioeconomy Science Institute, Auckland, New Zealand. Pollen DNA samples were sequenced and processed by NOVOGENE (Planegg, Germany) using the same primer pair on an Illumina Novaseq platform config</w:t>
      </w:r>
      <w:r w:rsidRPr="00FE3049">
        <w:rPr>
          <w:rFonts w:ascii="Times New Roman" w:hAnsi="Times New Roman" w:cs="Times New Roman"/>
          <w:color w:val="000000" w:themeColor="text1"/>
        </w:rPr>
        <w:t>ured for PE250 sequencing for 518 cycles.</w:t>
      </w:r>
    </w:p>
    <w:p w14:paraId="1C00885D"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For all samples, raw reads were processed using the DADA2 bioinformatics pipeline (Callahan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2016), producing two key datasets: a sample x ASV counts matrix and reference ASV fasta file (Appendix S1: Section </w:t>
      </w:r>
      <w:r w:rsidRPr="00FE3049">
        <w:rPr>
          <w:rFonts w:ascii="Times New Roman" w:hAnsi="Times New Roman" w:cs="Times New Roman"/>
          <w:color w:val="000000" w:themeColor="text1"/>
        </w:rPr>
        <w:t>4). Reference ASVs were used to call taxonomic identities using DADA2 in conjunction with the published ITS2 reference database of Bell (2021). Taxonomy data were combined with the sample x ASV matrix and sample metadata using phyloseq (McMurdie &amp; Holmes 2</w:t>
      </w:r>
      <w:r w:rsidRPr="00FE3049">
        <w:rPr>
          <w:rFonts w:ascii="Times New Roman" w:hAnsi="Times New Roman" w:cs="Times New Roman"/>
          <w:color w:val="000000" w:themeColor="text1"/>
        </w:rPr>
        <w:t xml:space="preserve">013) and downstream quality control and statistical analyses were performed in the R analysis environment. For contaminant and misidentified ASV removal, we tested our ASVs for contaminants using the R package, decontam (Davis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2018). Then, the remai</w:t>
      </w:r>
      <w:r w:rsidRPr="00FE3049">
        <w:rPr>
          <w:rFonts w:ascii="Times New Roman" w:hAnsi="Times New Roman" w:cs="Times New Roman"/>
          <w:color w:val="000000" w:themeColor="text1"/>
        </w:rPr>
        <w:t>ning list of taxa was screened against a locally specific herbarium (Hermosilla &amp; Agut 2025).</w:t>
      </w:r>
    </w:p>
    <w:p w14:paraId="5B7C1A52"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Statistical analysis</w:t>
      </w:r>
    </w:p>
    <w:p w14:paraId="430AA104"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We used iNEXT to quantify sampling completeness for our data using sample coverage (Hsieh et al. 2025). Coverage summaries were calculated at</w:t>
      </w:r>
      <w:r w:rsidRPr="00FE3049">
        <w:rPr>
          <w:rFonts w:ascii="Times New Roman" w:hAnsi="Times New Roman" w:cs="Times New Roman"/>
          <w:color w:val="000000" w:themeColor="text1"/>
        </w:rPr>
        <w:t xml:space="preserve"> the observed sample size only, excluding extrapolated values.</w:t>
      </w:r>
    </w:p>
    <w:p w14:paraId="09CFFF82"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lastRenderedPageBreak/>
        <w:t>As an initial broad test of whether the methodologies detected interactions with different plant communities, we used binary presence-absence matrices to compare the communities detected by eac</w:t>
      </w:r>
      <w:r w:rsidRPr="00FE3049">
        <w:rPr>
          <w:rFonts w:ascii="Times New Roman" w:hAnsi="Times New Roman" w:cs="Times New Roman"/>
          <w:color w:val="000000" w:themeColor="text1"/>
        </w:rPr>
        <w:t xml:space="preserve">h methodology for each sampling day. Data were aggregated by sampling day for all sets of observations. Community composition was contrasted using the Raup-Crick dissimilarity index in a PERMANOVA test within the R package, vegan (Oksanen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wit</w:t>
      </w:r>
      <w:r w:rsidRPr="00FE3049">
        <w:rPr>
          <w:rFonts w:ascii="Times New Roman" w:hAnsi="Times New Roman" w:cs="Times New Roman"/>
          <w:color w:val="000000" w:themeColor="text1"/>
        </w:rPr>
        <w:t>h methodology as the independent variable. Further pairwise comparisons of these data were made by subsetting the dissimilarity matrix used in the first test by each unique methodology pair and using multiple pairwise PERMANOVAs and beta dispersal for comp</w:t>
      </w:r>
      <w:r w:rsidRPr="00FE3049">
        <w:rPr>
          <w:rFonts w:ascii="Times New Roman" w:hAnsi="Times New Roman" w:cs="Times New Roman"/>
          <w:color w:val="000000" w:themeColor="text1"/>
        </w:rPr>
        <w:t>arison.</w:t>
      </w:r>
    </w:p>
    <w:p w14:paraId="0B89C4AB"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From the 126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specimens, we obtained both gut-content and pollen sequence data for 23 individuals. Using this subset of paired samples, we compared the plant communities detected by the two metabarcoding methodologies at the individual </w:t>
      </w:r>
      <w:r w:rsidRPr="00FE3049">
        <w:rPr>
          <w:rFonts w:ascii="Times New Roman" w:hAnsi="Times New Roman" w:cs="Times New Roman"/>
          <w:color w:val="000000" w:themeColor="text1"/>
        </w:rPr>
        <w:t>sample level without aggregation. PERMANOVA compared both methodologies’ detected communities in strata defined by specimen of sample origin.</w:t>
      </w:r>
    </w:p>
    <w:p w14:paraId="3F4A8E9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We used interaction frequencies from the three methodologies to build individual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–plant interaction ne</w:t>
      </w:r>
      <w:r w:rsidRPr="00FE3049">
        <w:rPr>
          <w:rFonts w:ascii="Times New Roman" w:hAnsi="Times New Roman" w:cs="Times New Roman"/>
          <w:color w:val="000000" w:themeColor="text1"/>
        </w:rPr>
        <w:t xml:space="preserve">tworks and calculate species-level metrics for plant importance and specialization. Plant importance was defined as the proportion of all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interactions involving a given plant genus. For metabarcoding and pollen-load data, interactions were cou</w:t>
      </w:r>
      <w:r w:rsidRPr="00FE3049">
        <w:rPr>
          <w:rFonts w:ascii="Times New Roman" w:hAnsi="Times New Roman" w:cs="Times New Roman"/>
          <w:color w:val="000000" w:themeColor="text1"/>
        </w:rPr>
        <w:t>nted as the number of individual bee samples in which a plant genus was detected; for observational data, interactions corresponded to recorded visits. Species-level specialization (</w:t>
      </w:r>
      <w:r w:rsidRPr="00FE3049">
        <w:rPr>
          <w:rFonts w:ascii="Times New Roman" w:hAnsi="Times New Roman" w:cs="Times New Roman"/>
          <w:i/>
          <w:iCs/>
          <w:color w:val="000000" w:themeColor="text1"/>
        </w:rPr>
        <w:t>d’</w:t>
      </w:r>
      <w:r w:rsidRPr="00FE3049">
        <w:rPr>
          <w:rFonts w:ascii="Times New Roman" w:hAnsi="Times New Roman" w:cs="Times New Roman"/>
          <w:color w:val="000000" w:themeColor="text1"/>
        </w:rPr>
        <w:t xml:space="preserve">) was calculated following Blüthgen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(2006), as implemented in the</w:t>
      </w:r>
      <w:r w:rsidRPr="00FE3049">
        <w:rPr>
          <w:rFonts w:ascii="Times New Roman" w:hAnsi="Times New Roman" w:cs="Times New Roman"/>
          <w:color w:val="000000" w:themeColor="text1"/>
        </w:rPr>
        <w:t xml:space="preserve"> R package bipartite (Dormann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2009).</w:t>
      </w:r>
    </w:p>
    <w:p w14:paraId="2A4C1E3A"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Results</w:t>
      </w:r>
    </w:p>
    <w:p w14:paraId="453070D6"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lastRenderedPageBreak/>
        <w:t>Assessment of floral resource use relative to availability</w:t>
      </w:r>
    </w:p>
    <w:p w14:paraId="6E658C7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Within our flower count surveys we registered a total of 117 flowering herbaceous plant genera across the sampling season, representing the pool of floral resources available to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which interacted with only a subset of this diversity (Fig. 1A).</w:t>
      </w:r>
      <w:r w:rsidRPr="00FE3049">
        <w:rPr>
          <w:rFonts w:ascii="Times New Roman" w:hAnsi="Times New Roman" w:cs="Times New Roman"/>
          <w:color w:val="000000" w:themeColor="text1"/>
        </w:rPr>
        <w:t xml:space="preserve"> In fact, 39 genera recorded in flower counts were absent from the interaction networks generated by any of the methodologies. Interaction transects revealed interactions with 27 genera (23% of total floral diversity), while gut-content and corbicular poll</w:t>
      </w:r>
      <w:r w:rsidRPr="00FE3049">
        <w:rPr>
          <w:rFonts w:ascii="Times New Roman" w:hAnsi="Times New Roman" w:cs="Times New Roman"/>
          <w:color w:val="000000" w:themeColor="text1"/>
        </w:rPr>
        <w:t>en metabarcoding revealed interactions with 58% and 53% of available taxa, respectively.</w:t>
      </w:r>
    </w:p>
    <w:p w14:paraId="48C9CEED"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Comparison of interaction detection by methodology</w:t>
      </w:r>
      <w:r w:rsidRPr="00FE3049">
        <w:rPr>
          <w:rFonts w:ascii="Times New Roman" w:hAnsi="Times New Roman" w:cs="Times New Roman"/>
          <w:color w:val="000000" w:themeColor="text1"/>
        </w:rPr>
        <w:t> </w:t>
      </w:r>
    </w:p>
    <w:p w14:paraId="011427F4"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Both metabarcoding methodologies detected multiple unique taxa (33 taxa for gut contents and 30 for corbicular poll</w:t>
      </w:r>
      <w:r w:rsidRPr="00FE3049">
        <w:rPr>
          <w:rFonts w:ascii="Times New Roman" w:hAnsi="Times New Roman" w:cs="Times New Roman"/>
          <w:color w:val="000000" w:themeColor="text1"/>
        </w:rPr>
        <w:t>en), while interaction transects did not detect any unique interactions (Fig. 1A). The two metabarcoding methodologies shared 83 common plant genera, representing 68% of the total corbicular pollen diversity and 63% of the gut content diversity.</w:t>
      </w:r>
    </w:p>
    <w:p w14:paraId="7D4D648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Taxonomic </w:t>
      </w:r>
      <w:r w:rsidRPr="00FE3049">
        <w:rPr>
          <w:rFonts w:ascii="Times New Roman" w:hAnsi="Times New Roman" w:cs="Times New Roman"/>
          <w:color w:val="000000" w:themeColor="text1"/>
        </w:rPr>
        <w:t>diversity varied across sampling periods, revealing distinct temporal patterns in flowering taxa and interactions (Fig. 1B). Although floral and interaction diversity increased overall from the first to the last period, flowering taxa peaked in period four</w:t>
      </w:r>
      <w:r w:rsidRPr="00FE3049">
        <w:rPr>
          <w:rFonts w:ascii="Times New Roman" w:hAnsi="Times New Roman" w:cs="Times New Roman"/>
          <w:color w:val="000000" w:themeColor="text1"/>
        </w:rPr>
        <w:t>, whereas interactions peaked in period six. Metabarcoding consistently detected more taxa than interaction transects, with gut-content metabarcoding detecting more diversity than all other methods. In periods one, two, and six—before and after peak flower</w:t>
      </w:r>
      <w:r w:rsidRPr="00FE3049">
        <w:rPr>
          <w:rFonts w:ascii="Times New Roman" w:hAnsi="Times New Roman" w:cs="Times New Roman"/>
          <w:color w:val="000000" w:themeColor="text1"/>
        </w:rPr>
        <w:t>ing—gut-content metabarcoding detected 59% more taxa than were recorded in flower counts, while in periods three to five floral diversity exceeded gut-content diversity.</w:t>
      </w:r>
    </w:p>
    <w:p w14:paraId="1D1755CF"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Functional diversity observations</w:t>
      </w:r>
    </w:p>
    <w:p w14:paraId="2343AA76"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lastRenderedPageBreak/>
        <w:t>The design of interaction transects only included ta</w:t>
      </w:r>
      <w:r w:rsidRPr="00FE3049">
        <w:rPr>
          <w:rFonts w:ascii="Times New Roman" w:hAnsi="Times New Roman" w:cs="Times New Roman"/>
          <w:color w:val="000000" w:themeColor="text1"/>
        </w:rPr>
        <w:t>xa from the entomophilous community, while both metabarcoding methodologies detected taxa from the anemophilous community as well, representing 28% (N = 41) of the total identified plant genera between the two methodologies. Among these were 20 genera from</w:t>
      </w:r>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Poaceae</w:t>
      </w:r>
      <w:r w:rsidRPr="00FE3049">
        <w:rPr>
          <w:rFonts w:ascii="Times New Roman" w:hAnsi="Times New Roman" w:cs="Times New Roman"/>
          <w:color w:val="000000" w:themeColor="text1"/>
        </w:rPr>
        <w:t xml:space="preserve">, nine tree or woody plant genera, and 12 other herbaceous genera (Appendix S2: Figure S3). During periods one, two, and six—when gut-content metabarcoding detected more taxa than the entomophilous community recorded in transects—an average of 13% </w:t>
      </w:r>
      <w:r w:rsidRPr="00FE3049">
        <w:rPr>
          <w:rFonts w:ascii="Times New Roman" w:hAnsi="Times New Roman" w:cs="Times New Roman"/>
          <w:color w:val="000000" w:themeColor="text1"/>
        </w:rPr>
        <w:t>of those taxa were anemophilous or partially anemophilous (Appendix S2: Figure S4).</w:t>
      </w:r>
    </w:p>
    <w:p w14:paraId="75EF368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Plant community composition across methodologies</w:t>
      </w:r>
    </w:p>
    <w:p w14:paraId="750C9636"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PERMANOVA indicated a significant effect of methodology on the observed community (P &lt; 0.001, R</w:t>
      </w:r>
      <w:r w:rsidRPr="00FE3049">
        <w:rPr>
          <w:rFonts w:ascii="Times New Roman" w:hAnsi="Times New Roman" w:cs="Times New Roman"/>
          <w:color w:val="000000" w:themeColor="text1"/>
          <w:vertAlign w:val="superscript"/>
        </w:rPr>
        <w:t>2</w:t>
      </w:r>
      <w:r w:rsidRPr="00FE3049">
        <w:rPr>
          <w:rFonts w:ascii="Times New Roman" w:hAnsi="Times New Roman" w:cs="Times New Roman"/>
          <w:color w:val="000000" w:themeColor="text1"/>
        </w:rPr>
        <w:t xml:space="preserve"> = 0.28). In this analysis, interaction transects showed high beta-dispersal (distance to centroid = 0.62) compared to the more centered metabarcoding and flowe</w:t>
      </w:r>
      <w:r w:rsidRPr="00FE3049">
        <w:rPr>
          <w:rFonts w:ascii="Times New Roman" w:hAnsi="Times New Roman" w:cs="Times New Roman"/>
          <w:color w:val="000000" w:themeColor="text1"/>
        </w:rPr>
        <w:t>r count results (distance to centroid ≤ 0.10), and an ANOVA test of mean dispersal by methodology indicated different levels of dispersal (P &lt; 0.001) for each methodology. The communities detected by each of the methodologies were also visualized using non</w:t>
      </w:r>
      <w:r w:rsidRPr="00FE3049">
        <w:rPr>
          <w:rFonts w:ascii="Times New Roman" w:hAnsi="Times New Roman" w:cs="Times New Roman"/>
          <w:color w:val="000000" w:themeColor="text1"/>
        </w:rPr>
        <w:t>-metric Multidimensional Scaling (nMDS, stress = 0.17, Fig. 1C). Pairwise comparisons (Appendix S2: Table S1) showed that the plant communities detected by flower counts were different from those of all other methodologies (P &lt; 0.001, Holm-Bonferroni), alt</w:t>
      </w:r>
      <w:r w:rsidRPr="00FE3049">
        <w:rPr>
          <w:rFonts w:ascii="Times New Roman" w:hAnsi="Times New Roman" w:cs="Times New Roman"/>
          <w:color w:val="000000" w:themeColor="text1"/>
        </w:rPr>
        <w:t>hough between pairs of interaction methodologies, no differences were observed. Removing flower count data from the analysis to observe finer differences between the interaction methodologies did not change these results (Appendix S2: Figure S5, Table S2).</w:t>
      </w:r>
    </w:p>
    <w:p w14:paraId="7EEB9178" w14:textId="77777777" w:rsidR="004F3A75" w:rsidRPr="00FE3049" w:rsidRDefault="009623AC" w:rsidP="00FE3049">
      <w:pPr>
        <w:pStyle w:val="BodyText"/>
        <w:spacing w:line="480" w:lineRule="auto"/>
        <w:jc w:val="center"/>
        <w:rPr>
          <w:rFonts w:ascii="Times New Roman" w:hAnsi="Times New Roman" w:cs="Times New Roman"/>
          <w:color w:val="000000" w:themeColor="text1"/>
        </w:rPr>
      </w:pPr>
      <w:r w:rsidRPr="00FE3049">
        <w:rPr>
          <w:rFonts w:ascii="Times New Roman" w:hAnsi="Times New Roman" w:cs="Times New Roman"/>
          <w:noProof/>
          <w:color w:val="000000" w:themeColor="text1"/>
        </w:rPr>
        <w:lastRenderedPageBreak/>
        <w:drawing>
          <wp:inline distT="0" distB="0" distL="0" distR="0" wp14:anchorId="16A52755" wp14:editId="239F34D9">
            <wp:extent cx="4324350" cy="337185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manuscript_figures/upset.figure.png"/>
                    <pic:cNvPicPr>
                      <a:picLocks noChangeAspect="1" noChangeArrowheads="1"/>
                    </pic:cNvPicPr>
                  </pic:nvPicPr>
                  <pic:blipFill>
                    <a:blip r:embed="rId7"/>
                    <a:stretch>
                      <a:fillRect/>
                    </a:stretch>
                  </pic:blipFill>
                  <pic:spPr bwMode="auto">
                    <a:xfrm>
                      <a:off x="0" y="0"/>
                      <a:ext cx="4360617" cy="3400129"/>
                    </a:xfrm>
                    <a:prstGeom prst="rect">
                      <a:avLst/>
                    </a:prstGeom>
                    <a:noFill/>
                    <a:ln w="9525">
                      <a:noFill/>
                      <a:headEnd/>
                      <a:tailEnd/>
                    </a:ln>
                  </pic:spPr>
                </pic:pic>
              </a:graphicData>
            </a:graphic>
          </wp:inline>
        </w:drawing>
      </w:r>
    </w:p>
    <w:p w14:paraId="2E38B28A" w14:textId="77777777" w:rsidR="004F3A75" w:rsidRPr="00FE3049" w:rsidRDefault="009623AC" w:rsidP="00FE3049">
      <w:pPr>
        <w:pStyle w:val="BodyText"/>
        <w:spacing w:line="480" w:lineRule="auto"/>
        <w:jc w:val="center"/>
        <w:rPr>
          <w:rFonts w:ascii="Times New Roman" w:hAnsi="Times New Roman" w:cs="Times New Roman"/>
          <w:color w:val="000000" w:themeColor="text1"/>
        </w:rPr>
      </w:pPr>
      <w:r w:rsidRPr="00FE3049">
        <w:rPr>
          <w:rFonts w:ascii="Times New Roman" w:hAnsi="Times New Roman" w:cs="Times New Roman"/>
          <w:noProof/>
          <w:color w:val="000000" w:themeColor="text1"/>
        </w:rPr>
        <w:drawing>
          <wp:inline distT="0" distB="0" distL="0" distR="0" wp14:anchorId="0B3A8388" wp14:editId="5ED4B519">
            <wp:extent cx="5334000" cy="318866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gures/fig1_b_c.png"/>
                    <pic:cNvPicPr>
                      <a:picLocks noChangeAspect="1" noChangeArrowheads="1"/>
                    </pic:cNvPicPr>
                  </pic:nvPicPr>
                  <pic:blipFill>
                    <a:blip r:embed="rId8"/>
                    <a:stretch>
                      <a:fillRect/>
                    </a:stretch>
                  </pic:blipFill>
                  <pic:spPr bwMode="auto">
                    <a:xfrm>
                      <a:off x="0" y="0"/>
                      <a:ext cx="5334000" cy="3188662"/>
                    </a:xfrm>
                    <a:prstGeom prst="rect">
                      <a:avLst/>
                    </a:prstGeom>
                    <a:noFill/>
                    <a:ln w="9525">
                      <a:noFill/>
                      <a:headEnd/>
                      <a:tailEnd/>
                    </a:ln>
                  </pic:spPr>
                </pic:pic>
              </a:graphicData>
            </a:graphic>
          </wp:inline>
        </w:drawing>
      </w:r>
    </w:p>
    <w:p w14:paraId="50261B0B"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Figure 1. Complementarity of methodologies for characterizing plant–pollinator interactions of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(A) Total plant genus diversity and overlap detected by floral surveys, visitation observations, and metabarcoding of corbicular pollen an</w:t>
      </w:r>
      <w:r w:rsidRPr="00FE3049">
        <w:rPr>
          <w:rFonts w:ascii="Times New Roman" w:hAnsi="Times New Roman" w:cs="Times New Roman"/>
          <w:color w:val="000000" w:themeColor="text1"/>
        </w:rPr>
        <w:t xml:space="preserve">d gut contents. (B) Temporal </w:t>
      </w:r>
      <w:r w:rsidRPr="00FE3049">
        <w:rPr>
          <w:rFonts w:ascii="Times New Roman" w:hAnsi="Times New Roman" w:cs="Times New Roman"/>
          <w:color w:val="000000" w:themeColor="text1"/>
        </w:rPr>
        <w:lastRenderedPageBreak/>
        <w:t>patterns in cumulative plant genus diversity across six sampling periods (April–August 2023) detected by visitation surveys and metabarcoding of gut contents and corbicular pollen. Values represent cumulative raw richness per m</w:t>
      </w:r>
      <w:r w:rsidRPr="00FE3049">
        <w:rPr>
          <w:rFonts w:ascii="Times New Roman" w:hAnsi="Times New Roman" w:cs="Times New Roman"/>
          <w:color w:val="000000" w:themeColor="text1"/>
        </w:rPr>
        <w:t>ethodology and period. (C) Differences in plant communities detected by each methodology and floral surveys, visualized using non-metric Multidimensional Scaling based on presence–absence data and Raup–Crick dissimilarity (stress = 0.17).</w:t>
      </w:r>
    </w:p>
    <w:p w14:paraId="60E856B3"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Gut-content vs. p</w:t>
      </w:r>
      <w:r w:rsidRPr="00FE3049">
        <w:rPr>
          <w:rFonts w:ascii="Times New Roman" w:hAnsi="Times New Roman" w:cs="Times New Roman"/>
          <w:i/>
          <w:iCs/>
          <w:color w:val="000000" w:themeColor="text1"/>
        </w:rPr>
        <w:t>ollen-derived plant communities from paired samples</w:t>
      </w:r>
    </w:p>
    <w:p w14:paraId="4C530BD6"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Comparing metabarcoding results from the same specimens, gut contents yielded fewer taxa (mean = 13 genera, sd = 9) than pollen samples (mean = 19 genera, sd = 7). On average, only 21% of taxa (mean = 7 g</w:t>
      </w:r>
      <w:r w:rsidRPr="00FE3049">
        <w:rPr>
          <w:rFonts w:ascii="Times New Roman" w:hAnsi="Times New Roman" w:cs="Times New Roman"/>
          <w:color w:val="000000" w:themeColor="text1"/>
        </w:rPr>
        <w:t>enera, sd = 3) were shared between the two sample types. A PERMANOVA with specimen as a blocking factor indicated a difference in the plant community observed by both sample types (Appendix S2: Table S3) explaining 16% of the variation between gut- and pol</w:t>
      </w:r>
      <w:r w:rsidRPr="00FE3049">
        <w:rPr>
          <w:rFonts w:ascii="Times New Roman" w:hAnsi="Times New Roman" w:cs="Times New Roman"/>
          <w:color w:val="000000" w:themeColor="text1"/>
        </w:rPr>
        <w:t>len-based detections. Data used in this comparison were similarly dispersed (distance to centroid = 0.08), with no difference between the two groups observed by a permutest.</w:t>
      </w:r>
    </w:p>
    <w:p w14:paraId="28F9DF6B"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Species level interaction network</w:t>
      </w:r>
    </w:p>
    <w:p w14:paraId="14FCDB13"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We calculated interaction specialization of </w:t>
      </w:r>
      <w:r w:rsidRPr="00FE3049">
        <w:rPr>
          <w:rFonts w:ascii="Times New Roman" w:hAnsi="Times New Roman" w:cs="Times New Roman"/>
          <w:i/>
          <w:iCs/>
          <w:color w:val="000000" w:themeColor="text1"/>
        </w:rPr>
        <w:t>B. p</w:t>
      </w:r>
      <w:r w:rsidRPr="00FE3049">
        <w:rPr>
          <w:rFonts w:ascii="Times New Roman" w:hAnsi="Times New Roman" w:cs="Times New Roman"/>
          <w:i/>
          <w:iCs/>
          <w:color w:val="000000" w:themeColor="text1"/>
        </w:rPr>
        <w:t>ascuorum</w:t>
      </w:r>
      <w:r w:rsidRPr="00FE3049">
        <w:rPr>
          <w:rFonts w:ascii="Times New Roman" w:hAnsi="Times New Roman" w:cs="Times New Roman"/>
          <w:color w:val="000000" w:themeColor="text1"/>
        </w:rPr>
        <w:t xml:space="preserve"> and an importance metric for the plant taxa within interaction networks. Specialization (</w:t>
      </w:r>
      <w:r w:rsidRPr="00FE3049">
        <w:rPr>
          <w:rFonts w:ascii="Times New Roman" w:hAnsi="Times New Roman" w:cs="Times New Roman"/>
          <w:i/>
          <w:iCs/>
          <w:color w:val="000000" w:themeColor="text1"/>
        </w:rPr>
        <w:t>d’</w:t>
      </w:r>
      <w:r w:rsidRPr="00FE3049">
        <w:rPr>
          <w:rFonts w:ascii="Times New Roman" w:hAnsi="Times New Roman" w:cs="Times New Roman"/>
          <w:color w:val="000000" w:themeColor="text1"/>
        </w:rPr>
        <w:t xml:space="preserve">) declined over the season for transect and pollen-metabarcoding data but remained relatively stable for gut-content metabarcoding (Fig. 2), with transects </w:t>
      </w:r>
      <w:r w:rsidRPr="00FE3049">
        <w:rPr>
          <w:rFonts w:ascii="Times New Roman" w:hAnsi="Times New Roman" w:cs="Times New Roman"/>
          <w:color w:val="000000" w:themeColor="text1"/>
        </w:rPr>
        <w:t xml:space="preserve">indicating complete specialization in the first period. Across all methods, </w:t>
      </w:r>
      <w:r w:rsidRPr="00FE3049">
        <w:rPr>
          <w:rFonts w:ascii="Times New Roman" w:hAnsi="Times New Roman" w:cs="Times New Roman"/>
          <w:i/>
          <w:iCs/>
          <w:color w:val="000000" w:themeColor="text1"/>
        </w:rPr>
        <w:t>Lotus</w:t>
      </w:r>
      <w:r w:rsidRPr="00FE3049">
        <w:rPr>
          <w:rFonts w:ascii="Times New Roman" w:hAnsi="Times New Roman" w:cs="Times New Roman"/>
          <w:color w:val="000000" w:themeColor="text1"/>
        </w:rPr>
        <w:t xml:space="preserve"> emerged as the most important plant genus, though the structure of importance differed. The </w:t>
      </w:r>
      <w:r w:rsidRPr="00FE3049">
        <w:rPr>
          <w:rFonts w:ascii="Times New Roman" w:hAnsi="Times New Roman" w:cs="Times New Roman"/>
          <w:color w:val="000000" w:themeColor="text1"/>
        </w:rPr>
        <w:lastRenderedPageBreak/>
        <w:t>transect network was dominated by a few top taxa (Fig. 3a), whereas the two metaba</w:t>
      </w:r>
      <w:r w:rsidRPr="00FE3049">
        <w:rPr>
          <w:rFonts w:ascii="Times New Roman" w:hAnsi="Times New Roman" w:cs="Times New Roman"/>
          <w:color w:val="000000" w:themeColor="text1"/>
        </w:rPr>
        <w:t>rcoding networks showed more evenly distributed importance values (Fig. 3b-c).</w:t>
      </w:r>
    </w:p>
    <w:p w14:paraId="436D1B27" w14:textId="77777777" w:rsidR="004F3A75" w:rsidRPr="00FE3049" w:rsidRDefault="009623AC" w:rsidP="00FE3049">
      <w:pPr>
        <w:pStyle w:val="BodyText"/>
        <w:spacing w:line="480" w:lineRule="auto"/>
        <w:jc w:val="center"/>
        <w:rPr>
          <w:rFonts w:ascii="Times New Roman" w:hAnsi="Times New Roman" w:cs="Times New Roman"/>
          <w:color w:val="000000" w:themeColor="text1"/>
        </w:rPr>
      </w:pPr>
      <w:r w:rsidRPr="00FE3049">
        <w:rPr>
          <w:rFonts w:ascii="Times New Roman" w:hAnsi="Times New Roman" w:cs="Times New Roman"/>
          <w:noProof/>
          <w:color w:val="000000" w:themeColor="text1"/>
        </w:rPr>
        <w:drawing>
          <wp:inline distT="0" distB="0" distL="0" distR="0" wp14:anchorId="21345EDE" wp14:editId="7B500D38">
            <wp:extent cx="4562475" cy="24384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manuscript_figures/fig.dprime.png"/>
                    <pic:cNvPicPr>
                      <a:picLocks noChangeAspect="1" noChangeArrowheads="1"/>
                    </pic:cNvPicPr>
                  </pic:nvPicPr>
                  <pic:blipFill>
                    <a:blip r:embed="rId9"/>
                    <a:stretch>
                      <a:fillRect/>
                    </a:stretch>
                  </pic:blipFill>
                  <pic:spPr bwMode="auto">
                    <a:xfrm>
                      <a:off x="0" y="0"/>
                      <a:ext cx="4562982" cy="2438671"/>
                    </a:xfrm>
                    <a:prstGeom prst="rect">
                      <a:avLst/>
                    </a:prstGeom>
                    <a:noFill/>
                    <a:ln w="9525">
                      <a:noFill/>
                      <a:headEnd/>
                      <a:tailEnd/>
                    </a:ln>
                  </pic:spPr>
                </pic:pic>
              </a:graphicData>
            </a:graphic>
          </wp:inline>
        </w:drawing>
      </w:r>
    </w:p>
    <w:p w14:paraId="4BB78A4C" w14:textId="76C37854"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Figure 2. Specialization of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xml:space="preserve"> across sampling periods estimated from visitation surveys, gut-content and corbicular pollen metabarcoding. Specialization was cal</w:t>
      </w:r>
      <w:r w:rsidRPr="00FE3049">
        <w:rPr>
          <w:rFonts w:ascii="Times New Roman" w:hAnsi="Times New Roman" w:cs="Times New Roman"/>
          <w:color w:val="000000" w:themeColor="text1"/>
        </w:rPr>
        <w:t>culated as d’ (Blüthgen et al. 2006), where d’ = 1 indicates complete specialization.</w:t>
      </w:r>
    </w:p>
    <w:p w14:paraId="43EC2C3F" w14:textId="3E133C24" w:rsidR="00FE3049" w:rsidRPr="00FE3049" w:rsidRDefault="00FE3049" w:rsidP="00FE3049">
      <w:pPr>
        <w:pStyle w:val="BodyText"/>
        <w:spacing w:line="480" w:lineRule="auto"/>
        <w:rPr>
          <w:rFonts w:ascii="Times New Roman" w:hAnsi="Times New Roman" w:cs="Times New Roman"/>
          <w:color w:val="000000" w:themeColor="text1"/>
        </w:rPr>
      </w:pPr>
    </w:p>
    <w:p w14:paraId="02F709F2" w14:textId="4A219A22" w:rsidR="00FE3049" w:rsidRPr="00FE3049" w:rsidRDefault="00FE3049" w:rsidP="00FE3049">
      <w:pPr>
        <w:pStyle w:val="BodyText"/>
        <w:spacing w:line="480" w:lineRule="auto"/>
        <w:rPr>
          <w:rFonts w:ascii="Times New Roman" w:hAnsi="Times New Roman" w:cs="Times New Roman"/>
          <w:color w:val="000000" w:themeColor="text1"/>
        </w:rPr>
      </w:pPr>
    </w:p>
    <w:p w14:paraId="0622F73A" w14:textId="77777777" w:rsidR="00FE3049" w:rsidRPr="00FE3049" w:rsidRDefault="00FE3049" w:rsidP="00FE3049">
      <w:pPr>
        <w:pStyle w:val="BodyText"/>
        <w:spacing w:line="480" w:lineRule="auto"/>
        <w:rPr>
          <w:rFonts w:ascii="Times New Roman" w:hAnsi="Times New Roman" w:cs="Times New Roman"/>
          <w:color w:val="000000" w:themeColor="text1"/>
        </w:rPr>
      </w:pPr>
    </w:p>
    <w:p w14:paraId="5B416B5C" w14:textId="77777777" w:rsidR="004F3A75" w:rsidRPr="00FE3049" w:rsidRDefault="009623AC" w:rsidP="00FE3049">
      <w:pPr>
        <w:pStyle w:val="BodyText"/>
        <w:spacing w:line="480" w:lineRule="auto"/>
        <w:jc w:val="center"/>
        <w:rPr>
          <w:rFonts w:ascii="Times New Roman" w:hAnsi="Times New Roman" w:cs="Times New Roman"/>
          <w:color w:val="000000" w:themeColor="text1"/>
        </w:rPr>
      </w:pPr>
      <w:r w:rsidRPr="00FE3049">
        <w:rPr>
          <w:rFonts w:ascii="Times New Roman" w:hAnsi="Times New Roman" w:cs="Times New Roman"/>
          <w:noProof/>
          <w:color w:val="000000" w:themeColor="text1"/>
        </w:rPr>
        <w:lastRenderedPageBreak/>
        <w:drawing>
          <wp:inline distT="0" distB="0" distL="0" distR="0" wp14:anchorId="2F8DAFF5" wp14:editId="69A40AAA">
            <wp:extent cx="5334000" cy="2305843"/>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nteraction_methodologies_files/figure-docx/unnamed-chunk-5-1.png"/>
                    <pic:cNvPicPr>
                      <a:picLocks noChangeAspect="1" noChangeArrowheads="1"/>
                    </pic:cNvPicPr>
                  </pic:nvPicPr>
                  <pic:blipFill>
                    <a:blip r:embed="rId10"/>
                    <a:stretch>
                      <a:fillRect/>
                    </a:stretch>
                  </pic:blipFill>
                  <pic:spPr bwMode="auto">
                    <a:xfrm>
                      <a:off x="0" y="0"/>
                      <a:ext cx="5334000" cy="2305843"/>
                    </a:xfrm>
                    <a:prstGeom prst="rect">
                      <a:avLst/>
                    </a:prstGeom>
                    <a:noFill/>
                    <a:ln w="9525">
                      <a:noFill/>
                      <a:headEnd/>
                      <a:tailEnd/>
                    </a:ln>
                  </pic:spPr>
                </pic:pic>
              </a:graphicData>
            </a:graphic>
          </wp:inline>
        </w:drawing>
      </w:r>
    </w:p>
    <w:p w14:paraId="77C09BE2" w14:textId="77777777" w:rsidR="004F3A75" w:rsidRPr="00FE3049" w:rsidRDefault="009623AC" w:rsidP="00FE3049">
      <w:pPr>
        <w:pStyle w:val="BodyText"/>
        <w:spacing w:line="480" w:lineRule="auto"/>
        <w:jc w:val="center"/>
        <w:rPr>
          <w:rFonts w:ascii="Times New Roman" w:hAnsi="Times New Roman" w:cs="Times New Roman"/>
          <w:color w:val="000000" w:themeColor="text1"/>
        </w:rPr>
      </w:pPr>
      <w:r w:rsidRPr="00FE3049">
        <w:rPr>
          <w:rFonts w:ascii="Times New Roman" w:hAnsi="Times New Roman" w:cs="Times New Roman"/>
          <w:noProof/>
          <w:color w:val="000000" w:themeColor="text1"/>
        </w:rPr>
        <w:drawing>
          <wp:inline distT="0" distB="0" distL="0" distR="0" wp14:anchorId="553A1298" wp14:editId="2FE82E35">
            <wp:extent cx="5334000" cy="2305843"/>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interaction_methodologies_files/figure-docx/unnamed-chunk-5-2.png"/>
                    <pic:cNvPicPr>
                      <a:picLocks noChangeAspect="1" noChangeArrowheads="1"/>
                    </pic:cNvPicPr>
                  </pic:nvPicPr>
                  <pic:blipFill>
                    <a:blip r:embed="rId11"/>
                    <a:stretch>
                      <a:fillRect/>
                    </a:stretch>
                  </pic:blipFill>
                  <pic:spPr bwMode="auto">
                    <a:xfrm>
                      <a:off x="0" y="0"/>
                      <a:ext cx="5334000" cy="2305843"/>
                    </a:xfrm>
                    <a:prstGeom prst="rect">
                      <a:avLst/>
                    </a:prstGeom>
                    <a:noFill/>
                    <a:ln w="9525">
                      <a:noFill/>
                      <a:headEnd/>
                      <a:tailEnd/>
                    </a:ln>
                  </pic:spPr>
                </pic:pic>
              </a:graphicData>
            </a:graphic>
          </wp:inline>
        </w:drawing>
      </w:r>
    </w:p>
    <w:p w14:paraId="332929C9" w14:textId="77777777" w:rsidR="004F3A75" w:rsidRPr="00FE3049" w:rsidRDefault="009623AC" w:rsidP="00FE3049">
      <w:pPr>
        <w:pStyle w:val="BodyText"/>
        <w:spacing w:line="480" w:lineRule="auto"/>
        <w:jc w:val="center"/>
        <w:rPr>
          <w:rFonts w:ascii="Times New Roman" w:hAnsi="Times New Roman" w:cs="Times New Roman"/>
          <w:color w:val="000000" w:themeColor="text1"/>
        </w:rPr>
      </w:pPr>
      <w:r w:rsidRPr="00FE3049">
        <w:rPr>
          <w:rFonts w:ascii="Times New Roman" w:hAnsi="Times New Roman" w:cs="Times New Roman"/>
          <w:noProof/>
          <w:color w:val="000000" w:themeColor="text1"/>
        </w:rPr>
        <w:drawing>
          <wp:inline distT="0" distB="0" distL="0" distR="0" wp14:anchorId="79416AB0" wp14:editId="5DA6CE0F">
            <wp:extent cx="5334000" cy="230584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nteraction_methodologies_files/figure-docx/unnamed-chunk-5-3.png"/>
                    <pic:cNvPicPr>
                      <a:picLocks noChangeAspect="1" noChangeArrowheads="1"/>
                    </pic:cNvPicPr>
                  </pic:nvPicPr>
                  <pic:blipFill>
                    <a:blip r:embed="rId12"/>
                    <a:stretch>
                      <a:fillRect/>
                    </a:stretch>
                  </pic:blipFill>
                  <pic:spPr bwMode="auto">
                    <a:xfrm>
                      <a:off x="0" y="0"/>
                      <a:ext cx="5334000" cy="2305843"/>
                    </a:xfrm>
                    <a:prstGeom prst="rect">
                      <a:avLst/>
                    </a:prstGeom>
                    <a:noFill/>
                    <a:ln w="9525">
                      <a:noFill/>
                      <a:headEnd/>
                      <a:tailEnd/>
                    </a:ln>
                  </pic:spPr>
                </pic:pic>
              </a:graphicData>
            </a:graphic>
          </wp:inline>
        </w:drawing>
      </w:r>
    </w:p>
    <w:p w14:paraId="4D34C116"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lastRenderedPageBreak/>
        <w:t xml:space="preserve">Figure 3. Plant importance within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xml:space="preserve"> interaction networks based on (A) visitation surveys, (B) gut-content metabarcoding, and (C) corbicular pollen me</w:t>
      </w:r>
      <w:r w:rsidRPr="00FE3049">
        <w:rPr>
          <w:rFonts w:ascii="Times New Roman" w:hAnsi="Times New Roman" w:cs="Times New Roman"/>
          <w:color w:val="000000" w:themeColor="text1"/>
        </w:rPr>
        <w:t>tabarcoding. Importance represents the proportion of interactions involving each plant genus. Block size and color indicate relative importance within each methodology.</w:t>
      </w:r>
    </w:p>
    <w:p w14:paraId="7BE04440"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Combined interaction network</w:t>
      </w:r>
    </w:p>
    <w:p w14:paraId="65A75497"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We combined the results from each interaction methodology </w:t>
      </w:r>
      <w:r w:rsidRPr="00FE3049">
        <w:rPr>
          <w:rFonts w:ascii="Times New Roman" w:hAnsi="Times New Roman" w:cs="Times New Roman"/>
          <w:color w:val="000000" w:themeColor="text1"/>
        </w:rPr>
        <w:t xml:space="preserve">to create an interaction network for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with links defined by interaction outcomes, including consumption, transport, and visitation (Fig. 4). This single species network included 171 nodes, increasing the number of taxa included in the network c</w:t>
      </w:r>
      <w:r w:rsidRPr="00FE3049">
        <w:rPr>
          <w:rFonts w:ascii="Times New Roman" w:hAnsi="Times New Roman" w:cs="Times New Roman"/>
          <w:color w:val="000000" w:themeColor="text1"/>
        </w:rPr>
        <w:t>ompared to individual methodology constructed networks. Additionally, each plant taxa received up to three links, including link metadata for interaction outcomes in the network. In total, the network contained 281 descriptive links.</w:t>
      </w:r>
    </w:p>
    <w:p w14:paraId="5F65231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noProof/>
          <w:color w:val="000000" w:themeColor="text1"/>
        </w:rPr>
        <w:lastRenderedPageBreak/>
        <w:drawing>
          <wp:inline distT="0" distB="0" distL="0" distR="0" wp14:anchorId="633BF37B" wp14:editId="3E9A96CF">
            <wp:extent cx="5333365" cy="5152405"/>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nuscript_figures/THE_GBP_composite_network.jpg"/>
                    <pic:cNvPicPr>
                      <a:picLocks noChangeAspect="1" noChangeArrowheads="1"/>
                    </pic:cNvPicPr>
                  </pic:nvPicPr>
                  <pic:blipFill rotWithShape="1">
                    <a:blip r:embed="rId13"/>
                    <a:srcRect t="8589" b="23086"/>
                    <a:stretch/>
                  </pic:blipFill>
                  <pic:spPr bwMode="auto">
                    <a:xfrm>
                      <a:off x="0" y="0"/>
                      <a:ext cx="5334000" cy="5153018"/>
                    </a:xfrm>
                    <a:prstGeom prst="rect">
                      <a:avLst/>
                    </a:prstGeom>
                    <a:noFill/>
                    <a:ln>
                      <a:noFill/>
                    </a:ln>
                    <a:extLst>
                      <a:ext uri="{53640926-AAD7-44D8-BBD7-CCE9431645EC}">
                        <a14:shadowObscured xmlns:a14="http://schemas.microsoft.com/office/drawing/2010/main"/>
                      </a:ext>
                    </a:extLst>
                  </pic:spPr>
                </pic:pic>
              </a:graphicData>
            </a:graphic>
          </wp:inline>
        </w:drawing>
      </w:r>
    </w:p>
    <w:p w14:paraId="4600C57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Figure 4. Combined i</w:t>
      </w:r>
      <w:r w:rsidRPr="00FE3049">
        <w:rPr>
          <w:rFonts w:ascii="Times New Roman" w:hAnsi="Times New Roman" w:cs="Times New Roman"/>
          <w:color w:val="000000" w:themeColor="text1"/>
        </w:rPr>
        <w:t xml:space="preserve">nteraction network for </w:t>
      </w:r>
      <w:r w:rsidRPr="00FE3049">
        <w:rPr>
          <w:rFonts w:ascii="Times New Roman" w:hAnsi="Times New Roman" w:cs="Times New Roman"/>
          <w:i/>
          <w:iCs/>
          <w:color w:val="000000" w:themeColor="text1"/>
        </w:rPr>
        <w:t>Bombus pascuorum</w:t>
      </w:r>
      <w:r w:rsidRPr="00FE3049">
        <w:rPr>
          <w:rFonts w:ascii="Times New Roman" w:hAnsi="Times New Roman" w:cs="Times New Roman"/>
          <w:color w:val="000000" w:themeColor="text1"/>
        </w:rPr>
        <w:t xml:space="preserve"> integrating visitation (visitation), corbicular pollen metabarcoding (transport), and gut-content metabarcoding (consumption). The network includes 170 plant genera, with links indicating the presence of each interac</w:t>
      </w:r>
      <w:r w:rsidRPr="00FE3049">
        <w:rPr>
          <w:rFonts w:ascii="Times New Roman" w:hAnsi="Times New Roman" w:cs="Times New Roman"/>
          <w:color w:val="000000" w:themeColor="text1"/>
        </w:rPr>
        <w:t>tion type.</w:t>
      </w:r>
    </w:p>
    <w:p w14:paraId="26A4F77F"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b/>
          <w:bCs/>
          <w:color w:val="000000" w:themeColor="text1"/>
        </w:rPr>
        <w:t>Discussion</w:t>
      </w:r>
    </w:p>
    <w:p w14:paraId="21B787A0"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The functional role a plant serves for a pollinator - whether as a source of consumed nutrients, transported pollen, or a visited flower - determines which methodology detects the interaction at </w:t>
      </w:r>
      <w:r w:rsidRPr="00FE3049">
        <w:rPr>
          <w:rFonts w:ascii="Times New Roman" w:hAnsi="Times New Roman" w:cs="Times New Roman"/>
          <w:color w:val="000000" w:themeColor="text1"/>
        </w:rPr>
        <w:lastRenderedPageBreak/>
        <w:t>all. Our results show that collapsing t</w:t>
      </w:r>
      <w:r w:rsidRPr="00FE3049">
        <w:rPr>
          <w:rFonts w:ascii="Times New Roman" w:hAnsi="Times New Roman" w:cs="Times New Roman"/>
          <w:color w:val="000000" w:themeColor="text1"/>
        </w:rPr>
        <w:t xml:space="preserve">hese distinct outcomes into a single ‘pollination’ link not only underestimates interaction diversity, but systematically distorts which plant taxa appear important and how specialized pollinators seem to be. Most strikingly,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forages well beyo</w:t>
      </w:r>
      <w:r w:rsidRPr="00FE3049">
        <w:rPr>
          <w:rFonts w:ascii="Times New Roman" w:hAnsi="Times New Roman" w:cs="Times New Roman"/>
          <w:color w:val="000000" w:themeColor="text1"/>
        </w:rPr>
        <w:t xml:space="preserve">nd the entomophilous community, consuming taxa from the anemophilous functional group — particularly during periods of low floral availability — in a pattern consistent with active hunger-gap foraging (Becher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Timberlake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2024b). That thi</w:t>
      </w:r>
      <w:r w:rsidRPr="00FE3049">
        <w:rPr>
          <w:rFonts w:ascii="Times New Roman" w:hAnsi="Times New Roman" w:cs="Times New Roman"/>
          <w:color w:val="000000" w:themeColor="text1"/>
        </w:rPr>
        <w:t>s goes undetected by field surveys alone has direct implications for which plant taxa we prioritize in pollinator conservation.</w:t>
      </w:r>
    </w:p>
    <w:p w14:paraId="18DAB95A"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We compared each methodology in terms of the diversity of detected interactions, assignment of relative importance of plant taxa</w:t>
      </w:r>
      <w:r w:rsidRPr="00FE3049">
        <w:rPr>
          <w:rFonts w:ascii="Times New Roman" w:hAnsi="Times New Roman" w:cs="Times New Roman"/>
          <w:color w:val="000000" w:themeColor="text1"/>
        </w:rPr>
        <w:t xml:space="preserve"> and specialization of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within the resulting network, and observed plant community composition. Consistent with previous comparisons between field and metabarcoding observation of plant-pollinator interactions, metabarcoding increased observed </w:t>
      </w:r>
      <w:r w:rsidRPr="00FE3049">
        <w:rPr>
          <w:rFonts w:ascii="Times New Roman" w:hAnsi="Times New Roman" w:cs="Times New Roman"/>
          <w:color w:val="000000" w:themeColor="text1"/>
        </w:rPr>
        <w:t xml:space="preserve">interaction diversity (Smart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Milla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Baksay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in our case by more than six-fold compared to interaction transect results. Considering this, and the time dedicated to data collection for both types of methodologies, metab</w:t>
      </w:r>
      <w:r w:rsidRPr="00FE3049">
        <w:rPr>
          <w:rFonts w:ascii="Times New Roman" w:hAnsi="Times New Roman" w:cs="Times New Roman"/>
          <w:color w:val="000000" w:themeColor="text1"/>
        </w:rPr>
        <w:t>arcoding was a more efficient approach. Interaction transects did provide the advantage of greater taxonomic resolution, as we were able to detect interactions at the species-species level, whereas metabarcoding provided species-genus level interactions. B</w:t>
      </w:r>
      <w:r w:rsidRPr="00FE3049">
        <w:rPr>
          <w:rFonts w:ascii="Times New Roman" w:hAnsi="Times New Roman" w:cs="Times New Roman"/>
          <w:color w:val="000000" w:themeColor="text1"/>
        </w:rPr>
        <w:t>eyond taxonomic detection capabilities, the results from each methodology allowed for network-level cross-validation. </w:t>
      </w:r>
    </w:p>
    <w:p w14:paraId="1A057C54"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Network topology and specialization patterns differed markedly across methodologies. Interaction transects tended to overstate both the d</w:t>
      </w:r>
      <w:r w:rsidRPr="00FE3049">
        <w:rPr>
          <w:rFonts w:ascii="Times New Roman" w:hAnsi="Times New Roman" w:cs="Times New Roman"/>
          <w:color w:val="000000" w:themeColor="text1"/>
        </w:rPr>
        <w:t xml:space="preserve">egree of specialization and the dominance of the most frequently visited plant taxa. Although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is known to form strong early-season associations with certain plant species (Artamendi et al., in prep), the metabarcoding </w:t>
      </w:r>
      <w:r w:rsidRPr="00FE3049">
        <w:rPr>
          <w:rFonts w:ascii="Times New Roman" w:hAnsi="Times New Roman" w:cs="Times New Roman"/>
          <w:color w:val="000000" w:themeColor="text1"/>
        </w:rPr>
        <w:lastRenderedPageBreak/>
        <w:t>approaches indicated much</w:t>
      </w:r>
      <w:r w:rsidRPr="00FE3049">
        <w:rPr>
          <w:rFonts w:ascii="Times New Roman" w:hAnsi="Times New Roman" w:cs="Times New Roman"/>
          <w:color w:val="000000" w:themeColor="text1"/>
        </w:rPr>
        <w:t xml:space="preserve"> lower specialization and produced more evenly distributed network structures. These results mirrored previous interaction networks constructed for individual pollinator species, which also have shown a tendency towards representing pollinators as speciali</w:t>
      </w:r>
      <w:r w:rsidRPr="00FE3049">
        <w:rPr>
          <w:rFonts w:ascii="Times New Roman" w:hAnsi="Times New Roman" w:cs="Times New Roman"/>
          <w:color w:val="000000" w:themeColor="text1"/>
        </w:rPr>
        <w:t xml:space="preserve">sts when using field observation data, in contrast to the generalist behavior indicated by metabarcoding data (Arstingstall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2021). Overall, the combined datasets across methodologies suggested a more diverse foraging niche than visitation interactio</w:t>
      </w:r>
      <w:r w:rsidRPr="00FE3049">
        <w:rPr>
          <w:rFonts w:ascii="Times New Roman" w:hAnsi="Times New Roman" w:cs="Times New Roman"/>
          <w:color w:val="000000" w:themeColor="text1"/>
        </w:rPr>
        <w:t>ns alone would have implied.</w:t>
      </w:r>
    </w:p>
    <w:p w14:paraId="5F7F52B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The three methodologies showed complementary patterns in community composition, with each revealing a distinct slice of the full interaction space. Notably, interaction transects showed substantially higher beta-dispersal (distance to centroid = 0.62) than</w:t>
      </w:r>
      <w:r w:rsidRPr="00FE3049">
        <w:rPr>
          <w:rFonts w:ascii="Times New Roman" w:hAnsi="Times New Roman" w:cs="Times New Roman"/>
          <w:color w:val="000000" w:themeColor="text1"/>
        </w:rPr>
        <w:t xml:space="preserve"> either metabarcoding approach (≤0.10), indicating that field observations produce highly variable community characterizations across sites and time. This variability likely reflected local habitat heterogeneity and observer effects rather than ecological </w:t>
      </w:r>
      <w:r w:rsidRPr="00FE3049">
        <w:rPr>
          <w:rFonts w:ascii="Times New Roman" w:hAnsi="Times New Roman" w:cs="Times New Roman"/>
          <w:color w:val="000000" w:themeColor="text1"/>
        </w:rPr>
        <w:t>signal, implying that single-site field surveys are particularly prone to misrepresenting network structure at the landscape scale. Metabarcoding, by integrating foraging across broader spatial extents, produced more reproducible community estimates. No st</w:t>
      </w:r>
      <w:r w:rsidRPr="00FE3049">
        <w:rPr>
          <w:rFonts w:ascii="Times New Roman" w:hAnsi="Times New Roman" w:cs="Times New Roman"/>
          <w:color w:val="000000" w:themeColor="text1"/>
        </w:rPr>
        <w:t xml:space="preserve">atistical differences in overall community composition were detected among the three interaction-focused methods at the aggregate level, though this masked the substantial individual-level variation in gut and pollen content that only molecular approaches </w:t>
      </w:r>
      <w:r w:rsidRPr="00FE3049">
        <w:rPr>
          <w:rFonts w:ascii="Times New Roman" w:hAnsi="Times New Roman" w:cs="Times New Roman"/>
          <w:color w:val="000000" w:themeColor="text1"/>
        </w:rPr>
        <w:t>could access. The minimal overlap between metabarcoding results and flower count data further confirmed that interaction networks routinely incorporate plant taxa absent from local entomophilous floral surveys.</w:t>
      </w:r>
    </w:p>
    <w:p w14:paraId="329448A3"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Between the two molecular approaches, gut-con</w:t>
      </w:r>
      <w:r w:rsidRPr="00FE3049">
        <w:rPr>
          <w:rFonts w:ascii="Times New Roman" w:hAnsi="Times New Roman" w:cs="Times New Roman"/>
          <w:color w:val="000000" w:themeColor="text1"/>
        </w:rPr>
        <w:t xml:space="preserve">tent metabarcoding captured greater overall taxonomic diversity and was the more efficient sampling strategy, as every specimen yielded a </w:t>
      </w:r>
      <w:r w:rsidRPr="00FE3049">
        <w:rPr>
          <w:rFonts w:ascii="Times New Roman" w:hAnsi="Times New Roman" w:cs="Times New Roman"/>
          <w:color w:val="000000" w:themeColor="text1"/>
        </w:rPr>
        <w:lastRenderedPageBreak/>
        <w:t>gut sample but not necessarily a pollen sample. The smaller corbicular pollen dataset (N = 25 vs. N = 126 gut samples)</w:t>
      </w:r>
      <w:r w:rsidRPr="00FE3049">
        <w:rPr>
          <w:rFonts w:ascii="Times New Roman" w:hAnsi="Times New Roman" w:cs="Times New Roman"/>
          <w:color w:val="000000" w:themeColor="text1"/>
        </w:rPr>
        <w:t xml:space="preserve"> limited the confidence with which direct comparisons between these two molecular approaches could be generalized; future studies should prioritize balanced sampling across methodologies. Pollen samples nonetheless detected more taxa per individual, and de</w:t>
      </w:r>
      <w:r w:rsidRPr="00FE3049">
        <w:rPr>
          <w:rFonts w:ascii="Times New Roman" w:hAnsi="Times New Roman" w:cs="Times New Roman"/>
          <w:color w:val="000000" w:themeColor="text1"/>
        </w:rPr>
        <w:t>monstrated a promising non-lethal alternative where lethal sampling is not feasible. The combination of both methodologies’ results broadened the interaction network greatly, and incorporated contextualized interaction links. These links showed which plant</w:t>
      </w:r>
      <w:r w:rsidRPr="00FE3049">
        <w:rPr>
          <w:rFonts w:ascii="Times New Roman" w:hAnsi="Times New Roman" w:cs="Times New Roman"/>
          <w:color w:val="000000" w:themeColor="text1"/>
        </w:rPr>
        <w:t xml:space="preserve"> genera were consumed for adult bee nutrition, and which provided pollen for transport to the nest. In our case, gut-content metabarcoding was particularly informative for revealing seasonal foraging patterns, detecting more consumed taxa than were floweri</w:t>
      </w:r>
      <w:r w:rsidRPr="00FE3049">
        <w:rPr>
          <w:rFonts w:ascii="Times New Roman" w:hAnsi="Times New Roman" w:cs="Times New Roman"/>
          <w:color w:val="000000" w:themeColor="text1"/>
        </w:rPr>
        <w:t>ng in the early and late parts of the season, and showing relatively stable low specialization over time. This stability contradicted previous field observations, indicating higher specialization of the species, especially in the early flowering season (Ar</w:t>
      </w:r>
      <w:r w:rsidRPr="00FE3049">
        <w:rPr>
          <w:rFonts w:ascii="Times New Roman" w:hAnsi="Times New Roman" w:cs="Times New Roman"/>
          <w:color w:val="000000" w:themeColor="text1"/>
        </w:rPr>
        <w:t>tamendi et al., unpublished data). Together, these results indicated that the plant community represented in consumption-based interactions differs from the floral community captured by visitation- and transport-focused surveys.</w:t>
      </w:r>
    </w:p>
    <w:p w14:paraId="7DB3641C"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Together, the temporal and </w:t>
      </w:r>
      <w:r w:rsidRPr="00FE3049">
        <w:rPr>
          <w:rFonts w:ascii="Times New Roman" w:hAnsi="Times New Roman" w:cs="Times New Roman"/>
          <w:color w:val="000000" w:themeColor="text1"/>
        </w:rPr>
        <w:t xml:space="preserve">functional patterns in our metabarcoding data demonstrated that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actively forages across multiple functional plant groups, including taxa well outside the traditionally surveyed entomophilous community — trees and shrubs, grasses, and other her</w:t>
      </w:r>
      <w:r w:rsidRPr="00FE3049">
        <w:rPr>
          <w:rFonts w:ascii="Times New Roman" w:hAnsi="Times New Roman" w:cs="Times New Roman"/>
          <w:color w:val="000000" w:themeColor="text1"/>
        </w:rPr>
        <w:t xml:space="preserve">baceous plants. These findings are consistent with the hypothesis that bumblebees expand their foraging niche to bridge seasonal hunger gaps (Becher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Timberlake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2024b)</w:t>
      </w:r>
      <w:r w:rsidRPr="00FE3049">
        <w:rPr>
          <w:rFonts w:ascii="Times New Roman" w:hAnsi="Times New Roman" w:cs="Times New Roman"/>
          <w:color w:val="000000" w:themeColor="text1"/>
        </w:rPr>
        <w:t>, and suggest that conservation assessments based solely on entomophilous floral resources may substantially underestimate the plant diversity required to sustain colonies. Our observations of anemophilous plant interactions are supported by previously doc</w:t>
      </w:r>
      <w:r w:rsidRPr="00FE3049">
        <w:rPr>
          <w:rFonts w:ascii="Times New Roman" w:hAnsi="Times New Roman" w:cs="Times New Roman"/>
          <w:color w:val="000000" w:themeColor="text1"/>
        </w:rPr>
        <w:t xml:space="preserve">umented records </w:t>
      </w:r>
      <w:r w:rsidRPr="00FE3049">
        <w:rPr>
          <w:rFonts w:ascii="Times New Roman" w:hAnsi="Times New Roman" w:cs="Times New Roman"/>
          <w:color w:val="000000" w:themeColor="text1"/>
        </w:rPr>
        <w:lastRenderedPageBreak/>
        <w:t xml:space="preserve">for </w:t>
      </w:r>
      <w:r w:rsidRPr="00FE3049">
        <w:rPr>
          <w:rFonts w:ascii="Times New Roman" w:hAnsi="Times New Roman" w:cs="Times New Roman"/>
          <w:i/>
          <w:iCs/>
          <w:color w:val="000000" w:themeColor="text1"/>
        </w:rPr>
        <w:t>Bombus</w:t>
      </w:r>
      <w:r w:rsidRPr="00FE3049">
        <w:rPr>
          <w:rFonts w:ascii="Times New Roman" w:hAnsi="Times New Roman" w:cs="Times New Roman"/>
          <w:color w:val="000000" w:themeColor="text1"/>
        </w:rPr>
        <w:t xml:space="preserve"> species (de Vere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Tanaka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2020; Milla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Wood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Timberlake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2024a; Selva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Ibiyemi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2025), and have especially intriguing implications for bumblebee forage behavior. P</w:t>
      </w:r>
      <w:r w:rsidRPr="00FE3049">
        <w:rPr>
          <w:rFonts w:ascii="Times New Roman" w:hAnsi="Times New Roman" w:cs="Times New Roman"/>
          <w:color w:val="000000" w:themeColor="text1"/>
        </w:rPr>
        <w:t xml:space="preserve">revious studies using external pollen metabarcoding have excluded wind-pollinated taxa on the assumption that wind-borne pollen represents false positive interactions (Negri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2015; Pornon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Tanaka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2020). However, our gut-content res</w:t>
      </w:r>
      <w:r w:rsidRPr="00FE3049">
        <w:rPr>
          <w:rFonts w:ascii="Times New Roman" w:hAnsi="Times New Roman" w:cs="Times New Roman"/>
          <w:color w:val="000000" w:themeColor="text1"/>
        </w:rPr>
        <w:t>ults caution against automatically treating these taxa as contaminants, particularly when external pollen loads are used as standalone proxies for foraging networks.</w:t>
      </w:r>
    </w:p>
    <w:p w14:paraId="661490A3"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The presence of DNA from anemophilous taxa within gut samples suggests that interactions w</w:t>
      </w:r>
      <w:r w:rsidRPr="00FE3049">
        <w:rPr>
          <w:rFonts w:ascii="Times New Roman" w:hAnsi="Times New Roman" w:cs="Times New Roman"/>
          <w:color w:val="000000" w:themeColor="text1"/>
        </w:rPr>
        <w:t>ith these taxa may be more than coincidental interactions with pollen in the environment. Indeed, beyond consumption for adult nutrition, there are previous indications that pollen from flowering trees supports colony establishment success and low larval m</w:t>
      </w:r>
      <w:r w:rsidRPr="00FE3049">
        <w:rPr>
          <w:rFonts w:ascii="Times New Roman" w:hAnsi="Times New Roman" w:cs="Times New Roman"/>
          <w:color w:val="000000" w:themeColor="text1"/>
        </w:rPr>
        <w:t xml:space="preserve">ortality (Wood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Our results support the hypothesis that most bumblebees forage selectively for consumption and transport of high-quality pollen (Ruedenauer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2016; Timberlake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2024a), adapting their forage to take advantage of the b</w:t>
      </w:r>
      <w:r w:rsidRPr="00FE3049">
        <w:rPr>
          <w:rFonts w:ascii="Times New Roman" w:hAnsi="Times New Roman" w:cs="Times New Roman"/>
          <w:color w:val="000000" w:themeColor="text1"/>
        </w:rPr>
        <w:t xml:space="preserve">est available resources as they change with environmental variability (Selva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2024). While it is possible that some plant material may be transported or consumed incidentally (Arstingstall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2021), the taxa detected within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gut conte</w:t>
      </w:r>
      <w:r w:rsidRPr="00FE3049">
        <w:rPr>
          <w:rFonts w:ascii="Times New Roman" w:hAnsi="Times New Roman" w:cs="Times New Roman"/>
          <w:color w:val="000000" w:themeColor="text1"/>
        </w:rPr>
        <w:t xml:space="preserve">nts and corbicular pollen form part of the web of biodiversity that supports the species and possibly other pollinators. Our detection of anemophilous plant DNA in both metabarcoding methodologies indicates that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and perhaps other bumblebee sp</w:t>
      </w:r>
      <w:r w:rsidRPr="00FE3049">
        <w:rPr>
          <w:rFonts w:ascii="Times New Roman" w:hAnsi="Times New Roman" w:cs="Times New Roman"/>
          <w:color w:val="000000" w:themeColor="text1"/>
        </w:rPr>
        <w:t>ecies, may intentionally forage on these taxa to meet nutritional needs at various life stages.</w:t>
      </w:r>
    </w:p>
    <w:p w14:paraId="3DFDB0D4"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 xml:space="preserve">Our results directly confirm that bumblebees expand their foraging niche during periods of resource scarcity (Morozumi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Wood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Gut-conte</w:t>
      </w:r>
      <w:r w:rsidRPr="00FE3049">
        <w:rPr>
          <w:rFonts w:ascii="Times New Roman" w:hAnsi="Times New Roman" w:cs="Times New Roman"/>
          <w:color w:val="000000" w:themeColor="text1"/>
        </w:rPr>
        <w:t xml:space="preserve">nt metabarcoding detected </w:t>
      </w:r>
      <w:r w:rsidRPr="00FE3049">
        <w:rPr>
          <w:rFonts w:ascii="Times New Roman" w:hAnsi="Times New Roman" w:cs="Times New Roman"/>
          <w:color w:val="000000" w:themeColor="text1"/>
        </w:rPr>
        <w:lastRenderedPageBreak/>
        <w:t>a more diverse plant assemblage before and after the floral peak than were recorded in flower counts, including anemophilous taxa rarely considered part of the foraging network — a pattern that field surveys alone cannot reveal. W</w:t>
      </w:r>
      <w:r w:rsidRPr="00FE3049">
        <w:rPr>
          <w:rFonts w:ascii="Times New Roman" w:hAnsi="Times New Roman" w:cs="Times New Roman"/>
          <w:color w:val="000000" w:themeColor="text1"/>
        </w:rPr>
        <w:t xml:space="preserve">hether driven by landscape-level floral resources beyond our transects, intentional foraging across functional plant groups, or both, these findings show that the breadth of plant diversity sustaining a bumblebee population is substantially wider than the </w:t>
      </w:r>
      <w:r w:rsidRPr="00FE3049">
        <w:rPr>
          <w:rFonts w:ascii="Times New Roman" w:hAnsi="Times New Roman" w:cs="Times New Roman"/>
          <w:color w:val="000000" w:themeColor="text1"/>
        </w:rPr>
        <w:t xml:space="preserve">entomophilous community that conventional methods capture. The taxonomic and temporal resolution of metabarcoding is essential for detecting this structure, and its value increases further at the individual sample level, where gut and pollen data together </w:t>
      </w:r>
      <w:r w:rsidRPr="00FE3049">
        <w:rPr>
          <w:rFonts w:ascii="Times New Roman" w:hAnsi="Times New Roman" w:cs="Times New Roman"/>
          <w:color w:val="000000" w:themeColor="text1"/>
        </w:rPr>
        <w:t>reveal which plants matter for adult nutrition versus brood provisioning.</w:t>
      </w:r>
    </w:p>
    <w:p w14:paraId="48759945"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Our comparative analyses understate the resolution of the metabarcoding derived data. We aggregated detections by sampling day to balance effort across methods, overlooking the indiv</w:t>
      </w:r>
      <w:r w:rsidRPr="00FE3049">
        <w:rPr>
          <w:rFonts w:ascii="Times New Roman" w:hAnsi="Times New Roman" w:cs="Times New Roman"/>
          <w:color w:val="000000" w:themeColor="text1"/>
        </w:rPr>
        <w:t xml:space="preserve">idual-level detail that metabarcoding can provide. When we compared taxa detected from paired pollen and gut samples at the individual level, overlap was low, revealing a difference between sample sources that was not apparent in comparisons of aggregated </w:t>
      </w:r>
      <w:r w:rsidRPr="00FE3049">
        <w:rPr>
          <w:rFonts w:ascii="Times New Roman" w:hAnsi="Times New Roman" w:cs="Times New Roman"/>
          <w:color w:val="000000" w:themeColor="text1"/>
        </w:rPr>
        <w:t>data. This difference likely reflects the different roles of corbicular pollen and immediately consumed pollen in the nutrition needed for different life-cycle stages (Vaudo 2015). Taxa repeatedly detected by both methods increased confidence in their impo</w:t>
      </w:r>
      <w:r w:rsidRPr="00FE3049">
        <w:rPr>
          <w:rFonts w:ascii="Times New Roman" w:hAnsi="Times New Roman" w:cs="Times New Roman"/>
          <w:color w:val="000000" w:themeColor="text1"/>
        </w:rPr>
        <w:t xml:space="preserve">rtance. For instance, the consistent appearance of </w:t>
      </w:r>
      <w:r w:rsidRPr="00FE3049">
        <w:rPr>
          <w:rFonts w:ascii="Times New Roman" w:hAnsi="Times New Roman" w:cs="Times New Roman"/>
          <w:i/>
          <w:iCs/>
          <w:color w:val="000000" w:themeColor="text1"/>
        </w:rPr>
        <w:t>Vicia</w:t>
      </w:r>
      <w:r w:rsidRPr="00FE3049">
        <w:rPr>
          <w:rFonts w:ascii="Times New Roman" w:hAnsi="Times New Roman" w:cs="Times New Roman"/>
          <w:color w:val="000000" w:themeColor="text1"/>
        </w:rPr>
        <w:t xml:space="preserve"> in both sample types early in the season supports field observations of a strong association between </w:t>
      </w:r>
      <w:r w:rsidRPr="00FE3049">
        <w:rPr>
          <w:rFonts w:ascii="Times New Roman" w:hAnsi="Times New Roman" w:cs="Times New Roman"/>
          <w:i/>
          <w:iCs/>
          <w:color w:val="000000" w:themeColor="text1"/>
        </w:rPr>
        <w:t>B. pascuorum</w:t>
      </w:r>
      <w:r w:rsidRPr="00FE3049">
        <w:rPr>
          <w:rFonts w:ascii="Times New Roman" w:hAnsi="Times New Roman" w:cs="Times New Roman"/>
          <w:color w:val="000000" w:themeColor="text1"/>
        </w:rPr>
        <w:t xml:space="preserve"> and </w:t>
      </w:r>
      <w:r w:rsidRPr="00FE3049">
        <w:rPr>
          <w:rFonts w:ascii="Times New Roman" w:hAnsi="Times New Roman" w:cs="Times New Roman"/>
          <w:i/>
          <w:iCs/>
          <w:color w:val="000000" w:themeColor="text1"/>
        </w:rPr>
        <w:t>Vicia</w:t>
      </w:r>
      <w:r w:rsidRPr="00FE3049">
        <w:rPr>
          <w:rFonts w:ascii="Times New Roman" w:hAnsi="Times New Roman" w:cs="Times New Roman"/>
          <w:color w:val="000000" w:themeColor="text1"/>
        </w:rPr>
        <w:t xml:space="preserve"> species (Artamendi et al., unpublished data), again underscoring the value </w:t>
      </w:r>
      <w:r w:rsidRPr="00FE3049">
        <w:rPr>
          <w:rFonts w:ascii="Times New Roman" w:hAnsi="Times New Roman" w:cs="Times New Roman"/>
          <w:color w:val="000000" w:themeColor="text1"/>
        </w:rPr>
        <w:t>of integrating field surveys with laboratory-based methods.</w:t>
      </w:r>
    </w:p>
    <w:p w14:paraId="6285C741"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Metabarcoding also has limitations that are relevant to the interpretation of our results. We used the ITS region as a target region for amplicon sequencing because it has previously been shown to</w:t>
      </w:r>
      <w:r w:rsidRPr="00FE3049">
        <w:rPr>
          <w:rFonts w:ascii="Times New Roman" w:hAnsi="Times New Roman" w:cs="Times New Roman"/>
          <w:color w:val="000000" w:themeColor="text1"/>
        </w:rPr>
        <w:t xml:space="preserve"> provide higher taxonomic resolution than other commonly used marker genes (e.g., trnL and </w:t>
      </w:r>
      <w:r w:rsidRPr="00FE3049">
        <w:rPr>
          <w:rFonts w:ascii="Times New Roman" w:hAnsi="Times New Roman" w:cs="Times New Roman"/>
          <w:color w:val="000000" w:themeColor="text1"/>
        </w:rPr>
        <w:lastRenderedPageBreak/>
        <w:t xml:space="preserve">rbcL) (Bell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2017; Milla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2022), which is important for fine-scale comparison of floral resource use. However, differences in primer affinity and number </w:t>
      </w:r>
      <w:r w:rsidRPr="00FE3049">
        <w:rPr>
          <w:rFonts w:ascii="Times New Roman" w:hAnsi="Times New Roman" w:cs="Times New Roman"/>
          <w:color w:val="000000" w:themeColor="text1"/>
        </w:rPr>
        <w:t xml:space="preserve">of PCR cycles can bias amplification, making some plant taxa more or less likely to appear in final results (Bell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2018; Shneyer &amp; Rodionov 2019; Baksay </w:t>
      </w:r>
      <w:r w:rsidRPr="00FE3049">
        <w:rPr>
          <w:rFonts w:ascii="Times New Roman" w:hAnsi="Times New Roman" w:cs="Times New Roman"/>
          <w:i/>
          <w:iCs/>
          <w:color w:val="000000" w:themeColor="text1"/>
        </w:rPr>
        <w:t>et al.</w:t>
      </w:r>
      <w:r w:rsidRPr="00FE3049">
        <w:rPr>
          <w:rFonts w:ascii="Times New Roman" w:hAnsi="Times New Roman" w:cs="Times New Roman"/>
          <w:color w:val="000000" w:themeColor="text1"/>
        </w:rPr>
        <w:t xml:space="preserve"> 2020). This limits the quantitative use of metabarcoding data, and we treated our data as </w:t>
      </w:r>
      <w:r w:rsidRPr="00FE3049">
        <w:rPr>
          <w:rFonts w:ascii="Times New Roman" w:hAnsi="Times New Roman" w:cs="Times New Roman"/>
          <w:color w:val="000000" w:themeColor="text1"/>
        </w:rPr>
        <w:t>binary, accordingly. While this qualitative presence/absence approach may have both exaggerated and understated the extent of roles of certain plant taxa as food resources, it provides an important first comparison of floral resource importance for diet, p</w:t>
      </w:r>
      <w:r w:rsidRPr="00FE3049">
        <w:rPr>
          <w:rFonts w:ascii="Times New Roman" w:hAnsi="Times New Roman" w:cs="Times New Roman"/>
          <w:color w:val="000000" w:themeColor="text1"/>
        </w:rPr>
        <w:t>ollen transfer, and visitation.</w:t>
      </w:r>
    </w:p>
    <w:p w14:paraId="4139E4A0"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i/>
          <w:iCs/>
          <w:color w:val="000000" w:themeColor="text1"/>
        </w:rPr>
        <w:t>Conclusions</w:t>
      </w:r>
    </w:p>
    <w:p w14:paraId="6504AA0F"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Plant–pollinator interaction networks are shaped as much by the methods used to construct them as by the webs of biodiversity they describe. Our results show that defining interactions by their functional outcome</w:t>
      </w:r>
      <w:r w:rsidRPr="00FE3049">
        <w:rPr>
          <w:rFonts w:ascii="Times New Roman" w:hAnsi="Times New Roman" w:cs="Times New Roman"/>
          <w:color w:val="000000" w:themeColor="text1"/>
        </w:rPr>
        <w:t xml:space="preserve"> — consumption, transport, or visitation — and combining methodologies accordingly, substantially changes which plant taxa appear important, how specialized pollinators appear to be, and which plant communities are identified as conservation priorities. Mo</w:t>
      </w:r>
      <w:r w:rsidRPr="00FE3049">
        <w:rPr>
          <w:rFonts w:ascii="Times New Roman" w:hAnsi="Times New Roman" w:cs="Times New Roman"/>
          <w:color w:val="000000" w:themeColor="text1"/>
        </w:rPr>
        <w:t xml:space="preserve">st critically, gut-content metabarcoding reveals a foraging niche that extends well beyond the entomophilous plant community, encompassing anemophilous taxa that provide essential resources during periods of low floral availability. These interactions are </w:t>
      </w:r>
      <w:r w:rsidRPr="00FE3049">
        <w:rPr>
          <w:rFonts w:ascii="Times New Roman" w:hAnsi="Times New Roman" w:cs="Times New Roman"/>
          <w:color w:val="000000" w:themeColor="text1"/>
        </w:rPr>
        <w:t>invisible to field surveys and systematically excluded from conventional network analyses, yet they may be central to pollinator persistence across seasons.</w:t>
      </w:r>
    </w:p>
    <w:p w14:paraId="7EFCFCC7" w14:textId="77777777" w:rsidR="004F3A75" w:rsidRPr="00FE3049" w:rsidRDefault="009623AC" w:rsidP="00FE3049">
      <w:pPr>
        <w:pStyle w:val="BodyText"/>
        <w:spacing w:line="480" w:lineRule="auto"/>
        <w:rPr>
          <w:rFonts w:ascii="Times New Roman" w:hAnsi="Times New Roman" w:cs="Times New Roman"/>
          <w:color w:val="000000" w:themeColor="text1"/>
        </w:rPr>
      </w:pPr>
      <w:r w:rsidRPr="00FE3049">
        <w:rPr>
          <w:rFonts w:ascii="Times New Roman" w:hAnsi="Times New Roman" w:cs="Times New Roman"/>
          <w:color w:val="000000" w:themeColor="text1"/>
        </w:rPr>
        <w:t>We advocate for a functional approach to pollinator network research: one that explicitly distingui</w:t>
      </w:r>
      <w:r w:rsidRPr="00FE3049">
        <w:rPr>
          <w:rFonts w:ascii="Times New Roman" w:hAnsi="Times New Roman" w:cs="Times New Roman"/>
          <w:color w:val="000000" w:themeColor="text1"/>
        </w:rPr>
        <w:t>shes interaction outcomes, integrates gut-content metabarcoding with established field and molecular methods, and extends the scope of floral resource assessment beyond the entomophilous community. Continuing the implementation of this approach will produc</w:t>
      </w:r>
      <w:r w:rsidRPr="00FE3049">
        <w:rPr>
          <w:rFonts w:ascii="Times New Roman" w:hAnsi="Times New Roman" w:cs="Times New Roman"/>
          <w:color w:val="000000" w:themeColor="text1"/>
        </w:rPr>
        <w:t xml:space="preserve">e a more </w:t>
      </w:r>
      <w:r w:rsidRPr="00FE3049">
        <w:rPr>
          <w:rFonts w:ascii="Times New Roman" w:hAnsi="Times New Roman" w:cs="Times New Roman"/>
          <w:color w:val="000000" w:themeColor="text1"/>
        </w:rPr>
        <w:lastRenderedPageBreak/>
        <w:t>accurate and ecologically meaningful picture of the plant diversity that sustains pollinator populations — and a more reliable foundation for the habitat management decisions that depend on it.</w:t>
      </w:r>
    </w:p>
    <w:p w14:paraId="4A7A5DBF" w14:textId="77777777" w:rsidR="004F3A75" w:rsidRPr="00FE3049" w:rsidRDefault="009623AC" w:rsidP="00FE3049">
      <w:pPr>
        <w:pStyle w:val="Heading2"/>
        <w:spacing w:line="480" w:lineRule="auto"/>
        <w:rPr>
          <w:rFonts w:ascii="Times New Roman" w:hAnsi="Times New Roman" w:cs="Times New Roman"/>
          <w:color w:val="000000" w:themeColor="text1"/>
          <w:sz w:val="24"/>
          <w:szCs w:val="24"/>
        </w:rPr>
      </w:pPr>
      <w:bookmarkStart w:id="0" w:name="references"/>
      <w:r w:rsidRPr="00FE3049">
        <w:rPr>
          <w:rFonts w:ascii="Times New Roman" w:hAnsi="Times New Roman" w:cs="Times New Roman"/>
          <w:b/>
          <w:bCs/>
          <w:color w:val="000000" w:themeColor="text1"/>
          <w:sz w:val="24"/>
          <w:szCs w:val="24"/>
        </w:rPr>
        <w:t>References</w:t>
      </w:r>
    </w:p>
    <w:p w14:paraId="536B412D"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1" w:name="ref-arstingstall2021"/>
      <w:bookmarkStart w:id="2" w:name="refs"/>
      <w:r w:rsidRPr="00FE3049">
        <w:rPr>
          <w:rFonts w:ascii="Times New Roman" w:hAnsi="Times New Roman" w:cs="Times New Roman"/>
          <w:color w:val="000000" w:themeColor="text1"/>
        </w:rPr>
        <w:t xml:space="preserve">Arstingstall, K.A., DeBano, S.J., Li, X., </w:t>
      </w:r>
      <w:r w:rsidRPr="00FE3049">
        <w:rPr>
          <w:rFonts w:ascii="Times New Roman" w:hAnsi="Times New Roman" w:cs="Times New Roman"/>
          <w:color w:val="000000" w:themeColor="text1"/>
        </w:rPr>
        <w:t xml:space="preserve">Wooster, D.E., Rowland, M.M., Burrows, S. &amp; Frost, K. (2021). </w:t>
      </w:r>
      <w:hyperlink r:id="rId14">
        <w:r w:rsidRPr="00FE3049">
          <w:rPr>
            <w:rStyle w:val="Hyperlink"/>
            <w:rFonts w:ascii="Times New Roman" w:hAnsi="Times New Roman" w:cs="Times New Roman"/>
            <w:color w:val="000000" w:themeColor="text1"/>
          </w:rPr>
          <w:t>Capabilities and limitations of using DNA metabarcoding to study plantpollinator interactions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lang w:val="es-ES"/>
        </w:rPr>
        <w:t>Molecular Ecology</w:t>
      </w:r>
      <w:r w:rsidRPr="00FE3049">
        <w:rPr>
          <w:rFonts w:ascii="Times New Roman" w:hAnsi="Times New Roman" w:cs="Times New Roman"/>
          <w:color w:val="000000" w:themeColor="text1"/>
          <w:lang w:val="es-ES"/>
        </w:rPr>
        <w:t xml:space="preserve">, </w:t>
      </w:r>
      <w:r w:rsidRPr="00FE3049">
        <w:rPr>
          <w:rFonts w:ascii="Times New Roman" w:hAnsi="Times New Roman" w:cs="Times New Roman"/>
          <w:b/>
          <w:bCs/>
          <w:color w:val="000000" w:themeColor="text1"/>
          <w:lang w:val="es-ES"/>
        </w:rPr>
        <w:t>30</w:t>
      </w:r>
      <w:r w:rsidRPr="00FE3049">
        <w:rPr>
          <w:rFonts w:ascii="Times New Roman" w:hAnsi="Times New Roman" w:cs="Times New Roman"/>
          <w:color w:val="000000" w:themeColor="text1"/>
          <w:lang w:val="es-ES"/>
        </w:rPr>
        <w:t>, 5266–5297.</w:t>
      </w:r>
    </w:p>
    <w:p w14:paraId="54B03E8D"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 w:name="ref-artamendi2025"/>
      <w:bookmarkEnd w:id="1"/>
      <w:r w:rsidRPr="00FE3049">
        <w:rPr>
          <w:rFonts w:ascii="Times New Roman" w:hAnsi="Times New Roman" w:cs="Times New Roman"/>
          <w:color w:val="000000" w:themeColor="text1"/>
          <w:lang w:val="es-ES"/>
        </w:rPr>
        <w:t>Artamendi, M</w:t>
      </w:r>
      <w:r w:rsidRPr="00FE3049">
        <w:rPr>
          <w:rFonts w:ascii="Times New Roman" w:hAnsi="Times New Roman" w:cs="Times New Roman"/>
          <w:color w:val="000000" w:themeColor="text1"/>
          <w:lang w:val="es-ES"/>
        </w:rPr>
        <w:t xml:space="preserve">., Martin, P.A., Bartomeus, I. &amp; Magrach, A. (2025). </w:t>
      </w:r>
      <w:r w:rsidRPr="00FE3049">
        <w:rPr>
          <w:rFonts w:ascii="Times New Roman" w:hAnsi="Times New Roman" w:cs="Times New Roman"/>
          <w:color w:val="000000" w:themeColor="text1"/>
        </w:rPr>
        <w:fldChar w:fldCharType="begin"/>
      </w:r>
      <w:r w:rsidRPr="00FE3049">
        <w:rPr>
          <w:rFonts w:ascii="Times New Roman" w:hAnsi="Times New Roman" w:cs="Times New Roman"/>
          <w:color w:val="000000" w:themeColor="text1"/>
          <w:lang w:val="es-ES"/>
        </w:rPr>
        <w:instrText xml:space="preserve"> HYPERLINK "https://doi.org/10.1038/s41559-024-02595-2" \h </w:instrText>
      </w:r>
      <w:r w:rsidRPr="00FE3049">
        <w:rPr>
          <w:rFonts w:ascii="Times New Roman" w:hAnsi="Times New Roman" w:cs="Times New Roman"/>
          <w:color w:val="000000" w:themeColor="text1"/>
        </w:rPr>
        <w:fldChar w:fldCharType="separate"/>
      </w:r>
      <w:r w:rsidRPr="00FE3049">
        <w:rPr>
          <w:rStyle w:val="Hyperlink"/>
          <w:rFonts w:ascii="Times New Roman" w:hAnsi="Times New Roman" w:cs="Times New Roman"/>
          <w:color w:val="000000" w:themeColor="text1"/>
        </w:rPr>
        <w:t>Loss of pollinator diversity consistently reduces reproductive success for wild and cultivated plants</w:t>
      </w:r>
      <w:r w:rsidRPr="00FE3049">
        <w:rPr>
          <w:rStyle w:val="Hyperlink"/>
          <w:rFonts w:ascii="Times New Roman" w:hAnsi="Times New Roman" w:cs="Times New Roman"/>
          <w:color w:val="000000" w:themeColor="text1"/>
        </w:rPr>
        <w:fldChar w:fldCharType="end"/>
      </w:r>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Nature Ecology &amp; Evolution</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9</w:t>
      </w:r>
      <w:r w:rsidRPr="00FE3049">
        <w:rPr>
          <w:rFonts w:ascii="Times New Roman" w:hAnsi="Times New Roman" w:cs="Times New Roman"/>
          <w:color w:val="000000" w:themeColor="text1"/>
        </w:rPr>
        <w:t>, 296–313.</w:t>
      </w:r>
    </w:p>
    <w:p w14:paraId="085C93F3"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 w:name="ref-baksay2022"/>
      <w:bookmarkEnd w:id="3"/>
      <w:r w:rsidRPr="00FE3049">
        <w:rPr>
          <w:rFonts w:ascii="Times New Roman" w:hAnsi="Times New Roman" w:cs="Times New Roman"/>
          <w:color w:val="000000" w:themeColor="text1"/>
        </w:rPr>
        <w:t xml:space="preserve">Baksay, S., Andalo, C., Galop, D., Burrus, M., Escaravage, N. &amp; Pornon, A. (2022). </w:t>
      </w:r>
      <w:hyperlink r:id="rId15">
        <w:r w:rsidRPr="00FE3049">
          <w:rPr>
            <w:rStyle w:val="Hyperlink"/>
            <w:rFonts w:ascii="Times New Roman" w:hAnsi="Times New Roman" w:cs="Times New Roman"/>
            <w:color w:val="000000" w:themeColor="text1"/>
          </w:rPr>
          <w:t>Using metabarcoding to investigate the strength of plant-pollinator interactions from surveys of visit</w:t>
        </w:r>
        <w:r w:rsidRPr="00FE3049">
          <w:rPr>
            <w:rStyle w:val="Hyperlink"/>
            <w:rFonts w:ascii="Times New Roman" w:hAnsi="Times New Roman" w:cs="Times New Roman"/>
            <w:color w:val="000000" w:themeColor="text1"/>
          </w:rPr>
          <w:t>s to DNA sequences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Frontiers in Ecology and Evolution</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10</w:t>
      </w:r>
      <w:r w:rsidRPr="00FE3049">
        <w:rPr>
          <w:rFonts w:ascii="Times New Roman" w:hAnsi="Times New Roman" w:cs="Times New Roman"/>
          <w:color w:val="000000" w:themeColor="text1"/>
        </w:rPr>
        <w:t>.</w:t>
      </w:r>
    </w:p>
    <w:p w14:paraId="62A473E4"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 w:name="ref-baksay2020"/>
      <w:bookmarkEnd w:id="4"/>
      <w:r w:rsidRPr="00FE3049">
        <w:rPr>
          <w:rFonts w:ascii="Times New Roman" w:hAnsi="Times New Roman" w:cs="Times New Roman"/>
          <w:color w:val="000000" w:themeColor="text1"/>
        </w:rPr>
        <w:t xml:space="preserve">Baksay, S., Pornon, A., Burrus, M., Mariette, J., Andalo, C. &amp; Escaravage, N. (2020). </w:t>
      </w:r>
      <w:hyperlink r:id="rId16">
        <w:r w:rsidRPr="00FE3049">
          <w:rPr>
            <w:rStyle w:val="Hyperlink"/>
            <w:rFonts w:ascii="Times New Roman" w:hAnsi="Times New Roman" w:cs="Times New Roman"/>
            <w:color w:val="000000" w:themeColor="text1"/>
          </w:rPr>
          <w:t>Experimental quantification of pollen with DNA m</w:t>
        </w:r>
        <w:r w:rsidRPr="00FE3049">
          <w:rPr>
            <w:rStyle w:val="Hyperlink"/>
            <w:rFonts w:ascii="Times New Roman" w:hAnsi="Times New Roman" w:cs="Times New Roman"/>
            <w:color w:val="000000" w:themeColor="text1"/>
          </w:rPr>
          <w:t>etabarcoding using ITS1 and trnL</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Scientific Reports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10</w:t>
      </w:r>
      <w:r w:rsidRPr="00FE3049">
        <w:rPr>
          <w:rFonts w:ascii="Times New Roman" w:hAnsi="Times New Roman" w:cs="Times New Roman"/>
          <w:color w:val="000000" w:themeColor="text1"/>
        </w:rPr>
        <w:t>, 4202.</w:t>
      </w:r>
    </w:p>
    <w:p w14:paraId="59FEEEE2"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6" w:name="ref-becher2024"/>
      <w:bookmarkEnd w:id="5"/>
      <w:r w:rsidRPr="00FE3049">
        <w:rPr>
          <w:rFonts w:ascii="Times New Roman" w:hAnsi="Times New Roman" w:cs="Times New Roman"/>
          <w:color w:val="000000" w:themeColor="text1"/>
        </w:rPr>
        <w:t xml:space="preserve">Becher, M.A., Twiston-Davies, G., Osborne, J.L. &amp; Lander, T.A. (2024). </w:t>
      </w:r>
      <w:hyperlink r:id="rId17">
        <w:r w:rsidRPr="00FE3049">
          <w:rPr>
            <w:rStyle w:val="Hyperlink"/>
            <w:rFonts w:ascii="Times New Roman" w:hAnsi="Times New Roman" w:cs="Times New Roman"/>
            <w:color w:val="000000" w:themeColor="text1"/>
          </w:rPr>
          <w:t>Resource gaps pose the greatest threat for bumblebees during the co</w:t>
        </w:r>
        <w:r w:rsidRPr="00FE3049">
          <w:rPr>
            <w:rStyle w:val="Hyperlink"/>
            <w:rFonts w:ascii="Times New Roman" w:hAnsi="Times New Roman" w:cs="Times New Roman"/>
            <w:color w:val="000000" w:themeColor="text1"/>
          </w:rPr>
          <w:t>lony establishment phase</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Insect Conservation and Diversity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17</w:t>
      </w:r>
      <w:r w:rsidRPr="00FE3049">
        <w:rPr>
          <w:rFonts w:ascii="Times New Roman" w:hAnsi="Times New Roman" w:cs="Times New Roman"/>
          <w:color w:val="000000" w:themeColor="text1"/>
        </w:rPr>
        <w:t>, 676–689.</w:t>
      </w:r>
    </w:p>
    <w:p w14:paraId="241F3403"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7" w:name="ref-bell2021"/>
      <w:bookmarkEnd w:id="6"/>
      <w:r w:rsidRPr="00FE3049">
        <w:rPr>
          <w:rFonts w:ascii="Times New Roman" w:hAnsi="Times New Roman" w:cs="Times New Roman"/>
          <w:color w:val="000000" w:themeColor="text1"/>
        </w:rPr>
        <w:t xml:space="preserve">Bell, K. (2021). </w:t>
      </w:r>
      <w:hyperlink r:id="rId18">
        <w:r w:rsidRPr="00FE3049">
          <w:rPr>
            <w:rStyle w:val="Hyperlink"/>
            <w:rFonts w:ascii="Times New Roman" w:hAnsi="Times New Roman" w:cs="Times New Roman"/>
            <w:color w:val="000000" w:themeColor="text1"/>
          </w:rPr>
          <w:t>ITS2 july 2021</w:t>
        </w:r>
      </w:hyperlink>
      <w:r w:rsidRPr="00FE3049">
        <w:rPr>
          <w:rFonts w:ascii="Times New Roman" w:hAnsi="Times New Roman" w:cs="Times New Roman"/>
          <w:color w:val="000000" w:themeColor="text1"/>
        </w:rPr>
        <w:t>.</w:t>
      </w:r>
    </w:p>
    <w:p w14:paraId="5C1B1DBF"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8" w:name="ref-bell2018"/>
      <w:bookmarkEnd w:id="7"/>
      <w:r w:rsidRPr="00FE3049">
        <w:rPr>
          <w:rFonts w:ascii="Times New Roman" w:hAnsi="Times New Roman" w:cs="Times New Roman"/>
          <w:color w:val="000000" w:themeColor="text1"/>
        </w:rPr>
        <w:lastRenderedPageBreak/>
        <w:t>Bell, K., Burgess, K.S., Botsch, J.C., Dobbs, E.K., Read, T.D. &amp; Brosi, B.J. (2018</w:t>
      </w:r>
      <w:r w:rsidRPr="00FE3049">
        <w:rPr>
          <w:rFonts w:ascii="Times New Roman" w:hAnsi="Times New Roman" w:cs="Times New Roman"/>
          <w:color w:val="000000" w:themeColor="text1"/>
        </w:rPr>
        <w:t xml:space="preserve">). </w:t>
      </w:r>
      <w:hyperlink r:id="rId19">
        <w:r w:rsidRPr="00FE3049">
          <w:rPr>
            <w:rStyle w:val="Hyperlink"/>
            <w:rFonts w:ascii="Times New Roman" w:hAnsi="Times New Roman" w:cs="Times New Roman"/>
            <w:color w:val="000000" w:themeColor="text1"/>
          </w:rPr>
          <w:t>Quantitative and qualitative assessment of pollen DNA metabarcoding using constructed species mixtures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Molecular Ecology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28</w:t>
      </w:r>
      <w:r w:rsidRPr="00FE3049">
        <w:rPr>
          <w:rFonts w:ascii="Times New Roman" w:hAnsi="Times New Roman" w:cs="Times New Roman"/>
          <w:color w:val="000000" w:themeColor="text1"/>
        </w:rPr>
        <w:t>, 431–455.</w:t>
      </w:r>
    </w:p>
    <w:p w14:paraId="17510D3E"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9" w:name="ref-bell2016"/>
      <w:bookmarkEnd w:id="8"/>
      <w:r w:rsidRPr="00FE3049">
        <w:rPr>
          <w:rFonts w:ascii="Times New Roman" w:hAnsi="Times New Roman" w:cs="Times New Roman"/>
          <w:color w:val="000000" w:themeColor="text1"/>
        </w:rPr>
        <w:t>Bell, K., de Vere, N., Keller, A., Richardson, R.T., Gous, A., B</w:t>
      </w:r>
      <w:r w:rsidRPr="00FE3049">
        <w:rPr>
          <w:rFonts w:ascii="Times New Roman" w:hAnsi="Times New Roman" w:cs="Times New Roman"/>
          <w:color w:val="000000" w:themeColor="text1"/>
        </w:rPr>
        <w:t xml:space="preserve">urgess, K.S. &amp; Brosi, B.J. (2016). </w:t>
      </w:r>
      <w:hyperlink r:id="rId20">
        <w:r w:rsidRPr="00FE3049">
          <w:rPr>
            <w:rStyle w:val="Hyperlink"/>
            <w:rFonts w:ascii="Times New Roman" w:hAnsi="Times New Roman" w:cs="Times New Roman"/>
            <w:color w:val="000000" w:themeColor="text1"/>
          </w:rPr>
          <w:t>Pollen DNA barcoding: Current applications and future prospects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Genome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59</w:t>
      </w:r>
      <w:r w:rsidRPr="00FE3049">
        <w:rPr>
          <w:rFonts w:ascii="Times New Roman" w:hAnsi="Times New Roman" w:cs="Times New Roman"/>
          <w:color w:val="000000" w:themeColor="text1"/>
        </w:rPr>
        <w:t>, 629–640.</w:t>
      </w:r>
    </w:p>
    <w:p w14:paraId="1B75C9BC"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0" w:name="ref-bell2017"/>
      <w:bookmarkEnd w:id="9"/>
      <w:r w:rsidRPr="00FE3049">
        <w:rPr>
          <w:rFonts w:ascii="Times New Roman" w:hAnsi="Times New Roman" w:cs="Times New Roman"/>
          <w:color w:val="000000" w:themeColor="text1"/>
        </w:rPr>
        <w:t xml:space="preserve">Bell, K., Fowler, J., Burgess, K.S., Dobbs, E.K., Gruenewald, D., Lawley, B., </w:t>
      </w:r>
      <w:r w:rsidRPr="00FE3049">
        <w:rPr>
          <w:rFonts w:ascii="Times New Roman" w:hAnsi="Times New Roman" w:cs="Times New Roman"/>
          <w:color w:val="000000" w:themeColor="text1"/>
        </w:rPr>
        <w:t xml:space="preserve">Morozumi, C. &amp; Brosi, B.J. (2017). </w:t>
      </w:r>
      <w:hyperlink r:id="rId21">
        <w:r w:rsidRPr="00FE3049">
          <w:rPr>
            <w:rStyle w:val="Hyperlink"/>
            <w:rFonts w:ascii="Times New Roman" w:hAnsi="Times New Roman" w:cs="Times New Roman"/>
            <w:color w:val="000000" w:themeColor="text1"/>
          </w:rPr>
          <w:t>Applying pollen DNA metabarcoding to the study of plant-pollinator interactions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Applications in Plant Sciences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5</w:t>
      </w:r>
      <w:r w:rsidRPr="00FE3049">
        <w:rPr>
          <w:rFonts w:ascii="Times New Roman" w:hAnsi="Times New Roman" w:cs="Times New Roman"/>
          <w:color w:val="000000" w:themeColor="text1"/>
        </w:rPr>
        <w:t>, 1600124.</w:t>
      </w:r>
    </w:p>
    <w:p w14:paraId="10C8EC58"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1" w:name="ref-blüthgen2006"/>
      <w:bookmarkEnd w:id="10"/>
      <w:r w:rsidRPr="00FE3049">
        <w:rPr>
          <w:rFonts w:ascii="Times New Roman" w:hAnsi="Times New Roman" w:cs="Times New Roman"/>
          <w:color w:val="000000" w:themeColor="text1"/>
        </w:rPr>
        <w:t xml:space="preserve">Blüthgen, N., Menzel, F. &amp; Blüthgen, N. </w:t>
      </w:r>
      <w:r w:rsidRPr="00FE3049">
        <w:rPr>
          <w:rFonts w:ascii="Times New Roman" w:hAnsi="Times New Roman" w:cs="Times New Roman"/>
          <w:color w:val="000000" w:themeColor="text1"/>
        </w:rPr>
        <w:t xml:space="preserve">(2006). </w:t>
      </w:r>
      <w:hyperlink r:id="rId22">
        <w:r w:rsidRPr="00FE3049">
          <w:rPr>
            <w:rStyle w:val="Hyperlink"/>
            <w:rFonts w:ascii="Times New Roman" w:hAnsi="Times New Roman" w:cs="Times New Roman"/>
            <w:color w:val="000000" w:themeColor="text1"/>
          </w:rPr>
          <w:t>Measuring specialization in species interaction networks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BMC Ecology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6</w:t>
      </w:r>
      <w:r w:rsidRPr="00FE3049">
        <w:rPr>
          <w:rFonts w:ascii="Times New Roman" w:hAnsi="Times New Roman" w:cs="Times New Roman"/>
          <w:color w:val="000000" w:themeColor="text1"/>
        </w:rPr>
        <w:t>, 9.</w:t>
      </w:r>
    </w:p>
    <w:p w14:paraId="071FA48B"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2" w:name="ref-bosch2009"/>
      <w:bookmarkEnd w:id="11"/>
      <w:r w:rsidRPr="00FE3049">
        <w:rPr>
          <w:rFonts w:ascii="Times New Roman" w:hAnsi="Times New Roman" w:cs="Times New Roman"/>
          <w:color w:val="000000" w:themeColor="text1"/>
        </w:rPr>
        <w:t xml:space="preserve">Bosch, J., Martín González, A.M., Rodrigo, A. &amp; Navarro, D. (2009). </w:t>
      </w:r>
      <w:hyperlink r:id="rId23">
        <w:r w:rsidRPr="00FE3049">
          <w:rPr>
            <w:rStyle w:val="Hyperlink"/>
            <w:rFonts w:ascii="Times New Roman" w:hAnsi="Times New Roman" w:cs="Times New Roman"/>
            <w:color w:val="000000" w:themeColor="text1"/>
          </w:rPr>
          <w:t>Plant-pollinator networks: adding the pollinator’s perspective</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Ecology Letters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12</w:t>
      </w:r>
      <w:r w:rsidRPr="00FE3049">
        <w:rPr>
          <w:rFonts w:ascii="Times New Roman" w:hAnsi="Times New Roman" w:cs="Times New Roman"/>
          <w:color w:val="000000" w:themeColor="text1"/>
        </w:rPr>
        <w:t>, 409–419.</w:t>
      </w:r>
    </w:p>
    <w:p w14:paraId="63F8214A"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3" w:name="ref-burkle2011"/>
      <w:bookmarkEnd w:id="12"/>
      <w:r w:rsidRPr="00FE3049">
        <w:rPr>
          <w:rFonts w:ascii="Times New Roman" w:hAnsi="Times New Roman" w:cs="Times New Roman"/>
          <w:color w:val="000000" w:themeColor="text1"/>
        </w:rPr>
        <w:t xml:space="preserve">Burkle, L.A. &amp; Alarcón, R. (2011). </w:t>
      </w:r>
      <w:hyperlink r:id="rId24">
        <w:r w:rsidRPr="00FE3049">
          <w:rPr>
            <w:rStyle w:val="Hyperlink"/>
            <w:rFonts w:ascii="Times New Roman" w:hAnsi="Times New Roman" w:cs="Times New Roman"/>
            <w:color w:val="000000" w:themeColor="text1"/>
          </w:rPr>
          <w:t>The future of plant-pollinator diversity: Understanding interaction networks across time, space, and global change</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American Journal of Botany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98</w:t>
      </w:r>
      <w:r w:rsidRPr="00FE3049">
        <w:rPr>
          <w:rFonts w:ascii="Times New Roman" w:hAnsi="Times New Roman" w:cs="Times New Roman"/>
          <w:color w:val="000000" w:themeColor="text1"/>
        </w:rPr>
        <w:t>, 528–538.</w:t>
      </w:r>
    </w:p>
    <w:p w14:paraId="412207F2"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4" w:name="ref-callahan2016"/>
      <w:bookmarkEnd w:id="13"/>
      <w:r w:rsidRPr="00FE3049">
        <w:rPr>
          <w:rFonts w:ascii="Times New Roman" w:hAnsi="Times New Roman" w:cs="Times New Roman"/>
          <w:color w:val="000000" w:themeColor="text1"/>
        </w:rPr>
        <w:t>Callahan, B.J., McMurdie, P.J., Rosen, M.J., H</w:t>
      </w:r>
      <w:r w:rsidRPr="00FE3049">
        <w:rPr>
          <w:rFonts w:ascii="Times New Roman" w:hAnsi="Times New Roman" w:cs="Times New Roman"/>
          <w:color w:val="000000" w:themeColor="text1"/>
        </w:rPr>
        <w:t xml:space="preserve">an, A.W., Johnson, A.J.A. &amp; Holmes, S.P. (2016). </w:t>
      </w:r>
      <w:hyperlink r:id="rId25">
        <w:r w:rsidRPr="00FE3049">
          <w:rPr>
            <w:rStyle w:val="Hyperlink"/>
            <w:rFonts w:ascii="Times New Roman" w:hAnsi="Times New Roman" w:cs="Times New Roman"/>
            <w:color w:val="000000" w:themeColor="text1"/>
          </w:rPr>
          <w:t>DADA2: High resolution sample inference from illumina amplicon data</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Nature methods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13</w:t>
      </w:r>
      <w:r w:rsidRPr="00FE3049">
        <w:rPr>
          <w:rFonts w:ascii="Times New Roman" w:hAnsi="Times New Roman" w:cs="Times New Roman"/>
          <w:color w:val="000000" w:themeColor="text1"/>
        </w:rPr>
        <w:t>, 581–583.</w:t>
      </w:r>
    </w:p>
    <w:p w14:paraId="5197B69D"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5" w:name="ref-chen2010"/>
      <w:bookmarkEnd w:id="14"/>
      <w:r w:rsidRPr="00FE3049">
        <w:rPr>
          <w:rFonts w:ascii="Times New Roman" w:hAnsi="Times New Roman" w:cs="Times New Roman"/>
          <w:color w:val="000000" w:themeColor="text1"/>
        </w:rPr>
        <w:t xml:space="preserve">Chen, S., Yao, H., Han, J., Liu, C., Song, J., Shi, L. </w:t>
      </w:r>
      <w:r w:rsidRPr="00FE3049">
        <w:rPr>
          <w:rFonts w:ascii="Times New Roman" w:hAnsi="Times New Roman" w:cs="Times New Roman"/>
          <w:color w:val="000000" w:themeColor="text1"/>
        </w:rPr>
        <w:t xml:space="preserve">&amp; Zhu et al., Y. (2010). </w:t>
      </w:r>
      <w:hyperlink r:id="rId26">
        <w:r w:rsidRPr="00FE3049">
          <w:rPr>
            <w:rStyle w:val="Hyperlink"/>
            <w:rFonts w:ascii="Times New Roman" w:hAnsi="Times New Roman" w:cs="Times New Roman"/>
            <w:color w:val="000000" w:themeColor="text1"/>
          </w:rPr>
          <w:t>Validation of the ITS2 Region as a Novel DNA Barcode for Identifying Medicinal Plant Species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PLOS ONE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5</w:t>
      </w:r>
      <w:r w:rsidRPr="00FE3049">
        <w:rPr>
          <w:rFonts w:ascii="Times New Roman" w:hAnsi="Times New Roman" w:cs="Times New Roman"/>
          <w:color w:val="000000" w:themeColor="text1"/>
        </w:rPr>
        <w:t>, e8613.</w:t>
      </w:r>
    </w:p>
    <w:p w14:paraId="44458DDC"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6" w:name="ref-davis2018"/>
      <w:bookmarkEnd w:id="15"/>
      <w:r w:rsidRPr="00FE3049">
        <w:rPr>
          <w:rFonts w:ascii="Times New Roman" w:hAnsi="Times New Roman" w:cs="Times New Roman"/>
          <w:color w:val="000000" w:themeColor="text1"/>
        </w:rPr>
        <w:lastRenderedPageBreak/>
        <w:t>Davis, N.M., Proctor, D.M., Holmes, S.P., Relman, D.A</w:t>
      </w:r>
      <w:r w:rsidRPr="00FE3049">
        <w:rPr>
          <w:rFonts w:ascii="Times New Roman" w:hAnsi="Times New Roman" w:cs="Times New Roman"/>
          <w:color w:val="000000" w:themeColor="text1"/>
        </w:rPr>
        <w:t xml:space="preserve">. &amp; Callahan, B.J. (2018). </w:t>
      </w:r>
      <w:hyperlink r:id="rId27">
        <w:r w:rsidRPr="00FE3049">
          <w:rPr>
            <w:rStyle w:val="Hyperlink"/>
            <w:rFonts w:ascii="Times New Roman" w:hAnsi="Times New Roman" w:cs="Times New Roman"/>
            <w:color w:val="000000" w:themeColor="text1"/>
          </w:rPr>
          <w:t>Simple statistical identification and removal of contaminant sequences in marker-gene and metagenomics data</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Microbiome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6</w:t>
      </w:r>
      <w:r w:rsidRPr="00FE3049">
        <w:rPr>
          <w:rFonts w:ascii="Times New Roman" w:hAnsi="Times New Roman" w:cs="Times New Roman"/>
          <w:color w:val="000000" w:themeColor="text1"/>
        </w:rPr>
        <w:t>, 226.</w:t>
      </w:r>
    </w:p>
    <w:p w14:paraId="3B600F2F"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7" w:name="ref-devere2017"/>
      <w:bookmarkEnd w:id="16"/>
      <w:r w:rsidRPr="00FE3049">
        <w:rPr>
          <w:rFonts w:ascii="Times New Roman" w:hAnsi="Times New Roman" w:cs="Times New Roman"/>
          <w:color w:val="000000" w:themeColor="text1"/>
        </w:rPr>
        <w:t xml:space="preserve">de Vere, N., Jones, L.E., Gilmore, T., </w:t>
      </w:r>
      <w:r w:rsidRPr="00FE3049">
        <w:rPr>
          <w:rFonts w:ascii="Times New Roman" w:hAnsi="Times New Roman" w:cs="Times New Roman"/>
          <w:color w:val="000000" w:themeColor="text1"/>
        </w:rPr>
        <w:t xml:space="preserve">Moscrop, J., Lowe, A., Smith, D., Hegarty, M.J., Creer, S. &amp; Ford, C.R. (2017). </w:t>
      </w:r>
      <w:hyperlink r:id="rId28">
        <w:r w:rsidRPr="00FE3049">
          <w:rPr>
            <w:rStyle w:val="Hyperlink"/>
            <w:rFonts w:ascii="Times New Roman" w:hAnsi="Times New Roman" w:cs="Times New Roman"/>
            <w:color w:val="000000" w:themeColor="text1"/>
          </w:rPr>
          <w:t>Using DNA metabarcoding to investigate honey bee foraging reveals limited flower use despite high floral availability</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Scie</w:t>
      </w:r>
      <w:r w:rsidRPr="00FE3049">
        <w:rPr>
          <w:rFonts w:ascii="Times New Roman" w:hAnsi="Times New Roman" w:cs="Times New Roman"/>
          <w:i/>
          <w:iCs/>
          <w:color w:val="000000" w:themeColor="text1"/>
        </w:rPr>
        <w:t>ntific Reports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7</w:t>
      </w:r>
      <w:r w:rsidRPr="00FE3049">
        <w:rPr>
          <w:rFonts w:ascii="Times New Roman" w:hAnsi="Times New Roman" w:cs="Times New Roman"/>
          <w:color w:val="000000" w:themeColor="text1"/>
        </w:rPr>
        <w:t>, 42838.</w:t>
      </w:r>
    </w:p>
    <w:p w14:paraId="6F3344E1"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8" w:name="ref-devriese2024"/>
      <w:bookmarkEnd w:id="17"/>
      <w:r w:rsidRPr="00FE3049">
        <w:rPr>
          <w:rFonts w:ascii="Times New Roman" w:hAnsi="Times New Roman" w:cs="Times New Roman"/>
          <w:color w:val="000000" w:themeColor="text1"/>
        </w:rPr>
        <w:t xml:space="preserve">Devriese, A., Peeters, G., Brys, R. &amp; Jacquemyn, H. (2024). </w:t>
      </w:r>
      <w:hyperlink r:id="rId29">
        <w:r w:rsidRPr="00FE3049">
          <w:rPr>
            <w:rStyle w:val="Hyperlink"/>
            <w:rFonts w:ascii="Times New Roman" w:hAnsi="Times New Roman" w:cs="Times New Roman"/>
            <w:color w:val="000000" w:themeColor="text1"/>
          </w:rPr>
          <w:t>The impact of extraction method and pollen concentration on community composition for pollen metabarcoding</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Applicat</w:t>
      </w:r>
      <w:r w:rsidRPr="00FE3049">
        <w:rPr>
          <w:rFonts w:ascii="Times New Roman" w:hAnsi="Times New Roman" w:cs="Times New Roman"/>
          <w:i/>
          <w:iCs/>
          <w:color w:val="000000" w:themeColor="text1"/>
        </w:rPr>
        <w:t>ions in Plant Sciences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12</w:t>
      </w:r>
      <w:r w:rsidRPr="00FE3049">
        <w:rPr>
          <w:rFonts w:ascii="Times New Roman" w:hAnsi="Times New Roman" w:cs="Times New Roman"/>
          <w:color w:val="000000" w:themeColor="text1"/>
        </w:rPr>
        <w:t>, e11601.</w:t>
      </w:r>
    </w:p>
    <w:p w14:paraId="1CE65E88"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19" w:name="ref-donald2022"/>
      <w:bookmarkEnd w:id="18"/>
      <w:r w:rsidRPr="00FE3049">
        <w:rPr>
          <w:rFonts w:ascii="Times New Roman" w:hAnsi="Times New Roman" w:cs="Times New Roman"/>
          <w:color w:val="000000" w:themeColor="text1"/>
        </w:rPr>
        <w:t xml:space="preserve">Donald, M.L., Galbraith, J.A., Erastova, D.A., Podolyan, A., Miller, T.E.X. &amp; Dhami, M.K. (2022). </w:t>
      </w:r>
      <w:hyperlink r:id="rId30">
        <w:r w:rsidRPr="00FE3049">
          <w:rPr>
            <w:rStyle w:val="Hyperlink"/>
            <w:rFonts w:ascii="Times New Roman" w:hAnsi="Times New Roman" w:cs="Times New Roman"/>
            <w:color w:val="000000" w:themeColor="text1"/>
          </w:rPr>
          <w:t>Nectar resources affect bird-dispersed microbial metacommunitie</w:t>
        </w:r>
        <w:r w:rsidRPr="00FE3049">
          <w:rPr>
            <w:rStyle w:val="Hyperlink"/>
            <w:rFonts w:ascii="Times New Roman" w:hAnsi="Times New Roman" w:cs="Times New Roman"/>
            <w:color w:val="000000" w:themeColor="text1"/>
          </w:rPr>
          <w:t>s in suburban and rural gardens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Environmental Microbiology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24</w:t>
      </w:r>
      <w:r w:rsidRPr="00FE3049">
        <w:rPr>
          <w:rFonts w:ascii="Times New Roman" w:hAnsi="Times New Roman" w:cs="Times New Roman"/>
          <w:color w:val="000000" w:themeColor="text1"/>
        </w:rPr>
        <w:t>, 5654–5665.</w:t>
      </w:r>
    </w:p>
    <w:p w14:paraId="4CC5455F"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20" w:name="ref-bipartite"/>
      <w:bookmarkEnd w:id="19"/>
      <w:r w:rsidRPr="00FE3049">
        <w:rPr>
          <w:rFonts w:ascii="Times New Roman" w:hAnsi="Times New Roman" w:cs="Times New Roman"/>
          <w:color w:val="000000" w:themeColor="text1"/>
        </w:rPr>
        <w:t xml:space="preserve">Dormann, C.F., Fruend, J., Bluethgen, N. &amp; Gruber, B. (2009). Indices, graphs and null models: Analyzing bipartite ecological networks. </w:t>
      </w:r>
      <w:r w:rsidRPr="00FE3049">
        <w:rPr>
          <w:rFonts w:ascii="Times New Roman" w:hAnsi="Times New Roman" w:cs="Times New Roman"/>
          <w:b/>
          <w:bCs/>
          <w:color w:val="000000" w:themeColor="text1"/>
        </w:rPr>
        <w:t>2</w:t>
      </w:r>
      <w:r w:rsidRPr="00FE3049">
        <w:rPr>
          <w:rFonts w:ascii="Times New Roman" w:hAnsi="Times New Roman" w:cs="Times New Roman"/>
          <w:color w:val="000000" w:themeColor="text1"/>
        </w:rPr>
        <w:t>, 7–24.</w:t>
      </w:r>
    </w:p>
    <w:p w14:paraId="47032FAB"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21" w:name="ref-emer2023"/>
      <w:bookmarkEnd w:id="20"/>
      <w:r w:rsidRPr="00FE3049">
        <w:rPr>
          <w:rFonts w:ascii="Times New Roman" w:hAnsi="Times New Roman" w:cs="Times New Roman"/>
          <w:color w:val="000000" w:themeColor="text1"/>
        </w:rPr>
        <w:t xml:space="preserve">Emer, C. &amp; Memmott, J. (2023). </w:t>
      </w:r>
      <w:hyperlink r:id="rId31">
        <w:r w:rsidRPr="00FE3049">
          <w:rPr>
            <w:rStyle w:val="Hyperlink"/>
            <w:rFonts w:ascii="Times New Roman" w:hAnsi="Times New Roman" w:cs="Times New Roman"/>
            <w:color w:val="000000" w:themeColor="text1"/>
          </w:rPr>
          <w:t>Intraspecific var</w:t>
        </w:r>
        <w:r w:rsidRPr="00FE3049">
          <w:rPr>
            <w:rStyle w:val="Hyperlink"/>
            <w:rFonts w:ascii="Times New Roman" w:hAnsi="Times New Roman" w:cs="Times New Roman"/>
            <w:color w:val="000000" w:themeColor="text1"/>
          </w:rPr>
          <w:t xml:space="preserve">iation of invaded pollination </w:t>
        </w:r>
        <w:proofErr w:type="gramStart"/>
        <w:r w:rsidRPr="00FE3049">
          <w:rPr>
            <w:rStyle w:val="Hyperlink"/>
            <w:rFonts w:ascii="Times New Roman" w:hAnsi="Times New Roman" w:cs="Times New Roman"/>
            <w:color w:val="000000" w:themeColor="text1"/>
          </w:rPr>
          <w:t>networks  the</w:t>
        </w:r>
        <w:proofErr w:type="gramEnd"/>
        <w:r w:rsidRPr="00FE3049">
          <w:rPr>
            <w:rStyle w:val="Hyperlink"/>
            <w:rFonts w:ascii="Times New Roman" w:hAnsi="Times New Roman" w:cs="Times New Roman"/>
            <w:color w:val="000000" w:themeColor="text1"/>
          </w:rPr>
          <w:t xml:space="preserve"> role of pollen-transport, pollen-transfer and different levels of biological organization</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Perspectives in Ecology and Conservation</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21</w:t>
      </w:r>
      <w:r w:rsidRPr="00FE3049">
        <w:rPr>
          <w:rFonts w:ascii="Times New Roman" w:hAnsi="Times New Roman" w:cs="Times New Roman"/>
          <w:color w:val="000000" w:themeColor="text1"/>
        </w:rPr>
        <w:t>, 151–163.</w:t>
      </w:r>
    </w:p>
    <w:p w14:paraId="60488B03"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22" w:name="ref-evans2020"/>
      <w:bookmarkEnd w:id="21"/>
      <w:r w:rsidRPr="00FE3049">
        <w:rPr>
          <w:rFonts w:ascii="Times New Roman" w:hAnsi="Times New Roman" w:cs="Times New Roman"/>
          <w:color w:val="000000" w:themeColor="text1"/>
        </w:rPr>
        <w:t xml:space="preserve">Evans, D. &amp; Kitson, J. (2020). </w:t>
      </w:r>
      <w:hyperlink r:id="rId32">
        <w:r w:rsidRPr="00FE3049">
          <w:rPr>
            <w:rStyle w:val="Hyperlink"/>
            <w:rFonts w:ascii="Times New Roman" w:hAnsi="Times New Roman" w:cs="Times New Roman"/>
            <w:color w:val="000000" w:themeColor="text1"/>
          </w:rPr>
          <w:t>Molecular ecology as a tool for understanding pollination and other plant-insect interactions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lang w:val="es-ES"/>
        </w:rPr>
        <w:t>Current Opinion in Insect Science</w:t>
      </w:r>
      <w:r w:rsidRPr="00FE3049">
        <w:rPr>
          <w:rFonts w:ascii="Times New Roman" w:hAnsi="Times New Roman" w:cs="Times New Roman"/>
          <w:color w:val="000000" w:themeColor="text1"/>
          <w:lang w:val="es-ES"/>
        </w:rPr>
        <w:t xml:space="preserve">, </w:t>
      </w:r>
      <w:r w:rsidRPr="00FE3049">
        <w:rPr>
          <w:rFonts w:ascii="Times New Roman" w:hAnsi="Times New Roman" w:cs="Times New Roman"/>
          <w:b/>
          <w:bCs/>
          <w:color w:val="000000" w:themeColor="text1"/>
          <w:lang w:val="es-ES"/>
        </w:rPr>
        <w:t>38</w:t>
      </w:r>
      <w:r w:rsidRPr="00FE3049">
        <w:rPr>
          <w:rFonts w:ascii="Times New Roman" w:hAnsi="Times New Roman" w:cs="Times New Roman"/>
          <w:color w:val="000000" w:themeColor="text1"/>
          <w:lang w:val="es-ES"/>
        </w:rPr>
        <w:t>, 26–33.</w:t>
      </w:r>
    </w:p>
    <w:p w14:paraId="5A09CE66"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23" w:name="ref-haag2023"/>
      <w:bookmarkEnd w:id="22"/>
      <w:r w:rsidRPr="00FE3049">
        <w:rPr>
          <w:rFonts w:ascii="Times New Roman" w:hAnsi="Times New Roman" w:cs="Times New Roman"/>
          <w:color w:val="000000" w:themeColor="text1"/>
          <w:lang w:val="es-ES"/>
        </w:rPr>
        <w:t xml:space="preserve">Haag, K.L., Caesar, L., Silveira Regueira-Neto, M. da, </w:t>
      </w:r>
      <w:r w:rsidRPr="00FE3049">
        <w:rPr>
          <w:rFonts w:ascii="Times New Roman" w:hAnsi="Times New Roman" w:cs="Times New Roman"/>
          <w:color w:val="000000" w:themeColor="text1"/>
          <w:lang w:val="es-ES"/>
        </w:rPr>
        <w:t xml:space="preserve">Sousa, D.R. de, Montenegro Marcelino, V., Queiroz Balbino, V. de &amp; Torres Carvalho, A. (2023). </w:t>
      </w:r>
      <w:hyperlink r:id="rId33">
        <w:r w:rsidRPr="00FE3049">
          <w:rPr>
            <w:rStyle w:val="Hyperlink"/>
            <w:rFonts w:ascii="Times New Roman" w:hAnsi="Times New Roman" w:cs="Times New Roman"/>
            <w:color w:val="000000" w:themeColor="text1"/>
          </w:rPr>
          <w:t xml:space="preserve">Temporal Changes in Gut Microbiota </w:t>
        </w:r>
        <w:r w:rsidRPr="00FE3049">
          <w:rPr>
            <w:rStyle w:val="Hyperlink"/>
            <w:rFonts w:ascii="Times New Roman" w:hAnsi="Times New Roman" w:cs="Times New Roman"/>
            <w:color w:val="000000" w:themeColor="text1"/>
          </w:rPr>
          <w:lastRenderedPageBreak/>
          <w:t>Composition and Pollen Diet Associated with Colony Weakness of a</w:t>
        </w:r>
        <w:r w:rsidRPr="00FE3049">
          <w:rPr>
            <w:rStyle w:val="Hyperlink"/>
            <w:rFonts w:ascii="Times New Roman" w:hAnsi="Times New Roman" w:cs="Times New Roman"/>
            <w:color w:val="000000" w:themeColor="text1"/>
          </w:rPr>
          <w:t xml:space="preserve"> Stingless Bee</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lang w:val="es-ES"/>
        </w:rPr>
        <w:t>Microbial Ecology</w:t>
      </w:r>
      <w:r w:rsidRPr="00FE3049">
        <w:rPr>
          <w:rFonts w:ascii="Times New Roman" w:hAnsi="Times New Roman" w:cs="Times New Roman"/>
          <w:color w:val="000000" w:themeColor="text1"/>
          <w:lang w:val="es-ES"/>
        </w:rPr>
        <w:t xml:space="preserve">, </w:t>
      </w:r>
      <w:r w:rsidRPr="00FE3049">
        <w:rPr>
          <w:rFonts w:ascii="Times New Roman" w:hAnsi="Times New Roman" w:cs="Times New Roman"/>
          <w:b/>
          <w:bCs/>
          <w:color w:val="000000" w:themeColor="text1"/>
          <w:lang w:val="es-ES"/>
        </w:rPr>
        <w:t>85</w:t>
      </w:r>
      <w:r w:rsidRPr="00FE3049">
        <w:rPr>
          <w:rFonts w:ascii="Times New Roman" w:hAnsi="Times New Roman" w:cs="Times New Roman"/>
          <w:color w:val="000000" w:themeColor="text1"/>
          <w:lang w:val="es-ES"/>
        </w:rPr>
        <w:t>, 1514–1526.</w:t>
      </w:r>
    </w:p>
    <w:p w14:paraId="454016DD"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24" w:name="ref-agut2025"/>
      <w:bookmarkEnd w:id="23"/>
      <w:r w:rsidRPr="00FE3049">
        <w:rPr>
          <w:rFonts w:ascii="Times New Roman" w:hAnsi="Times New Roman" w:cs="Times New Roman"/>
          <w:color w:val="000000" w:themeColor="text1"/>
          <w:lang w:val="es-ES"/>
        </w:rPr>
        <w:t xml:space="preserve">Hermosilla, B. &amp; Agut, A. (2025). </w:t>
      </w:r>
      <w:hyperlink r:id="rId34">
        <w:r w:rsidRPr="00FE3049">
          <w:rPr>
            <w:rStyle w:val="Hyperlink"/>
            <w:rFonts w:ascii="Times New Roman" w:hAnsi="Times New Roman" w:cs="Times New Roman"/>
            <w:color w:val="000000" w:themeColor="text1"/>
            <w:lang w:val="es-ES"/>
          </w:rPr>
          <w:t>Herbario del Jardín Botánico de Olarizu (Vitoria-Gasteiz)/Olarizuko Lorategi Botanikoaren Herbarioa (Vitoria-Gasteiz)</w:t>
        </w:r>
      </w:hyperlink>
      <w:r w:rsidRPr="00FE3049">
        <w:rPr>
          <w:rFonts w:ascii="Times New Roman" w:hAnsi="Times New Roman" w:cs="Times New Roman"/>
          <w:color w:val="000000" w:themeColor="text1"/>
          <w:lang w:val="es-ES"/>
        </w:rPr>
        <w:t>.</w:t>
      </w:r>
    </w:p>
    <w:p w14:paraId="46BA0722"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25" w:name="ref-ibiyemi2025"/>
      <w:bookmarkEnd w:id="24"/>
      <w:r w:rsidRPr="00FE3049">
        <w:rPr>
          <w:rFonts w:ascii="Times New Roman" w:hAnsi="Times New Roman" w:cs="Times New Roman"/>
          <w:color w:val="000000" w:themeColor="text1"/>
        </w:rPr>
        <w:t>Ib</w:t>
      </w:r>
      <w:r w:rsidRPr="00FE3049">
        <w:rPr>
          <w:rFonts w:ascii="Times New Roman" w:hAnsi="Times New Roman" w:cs="Times New Roman"/>
          <w:color w:val="000000" w:themeColor="text1"/>
        </w:rPr>
        <w:t xml:space="preserve">iyemi, D., Harris-Shultz, K., Jespersen, D. &amp; Joseph, S.V. (2025). </w:t>
      </w:r>
      <w:hyperlink r:id="rId35">
        <w:r w:rsidRPr="00FE3049">
          <w:rPr>
            <w:rStyle w:val="Hyperlink"/>
            <w:rFonts w:ascii="Times New Roman" w:hAnsi="Times New Roman" w:cs="Times New Roman"/>
            <w:color w:val="000000" w:themeColor="text1"/>
          </w:rPr>
          <w:t>Understanding the Foraging Behavior of Sweat Bees, Bumble Bees, and Honey Bees on Centipedegrass for Conservation Strategies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J</w:t>
      </w:r>
      <w:r w:rsidRPr="00FE3049">
        <w:rPr>
          <w:rFonts w:ascii="Times New Roman" w:hAnsi="Times New Roman" w:cs="Times New Roman"/>
          <w:i/>
          <w:iCs/>
          <w:color w:val="000000" w:themeColor="text1"/>
        </w:rPr>
        <w:t>ournal of Insect Behavior</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38</w:t>
      </w:r>
      <w:r w:rsidRPr="00FE3049">
        <w:rPr>
          <w:rFonts w:ascii="Times New Roman" w:hAnsi="Times New Roman" w:cs="Times New Roman"/>
          <w:color w:val="000000" w:themeColor="text1"/>
        </w:rPr>
        <w:t>, 29.</w:t>
      </w:r>
    </w:p>
    <w:p w14:paraId="69B07DF0"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26" w:name="ref-klein2006"/>
      <w:bookmarkEnd w:id="25"/>
      <w:r w:rsidRPr="00FE3049">
        <w:rPr>
          <w:rFonts w:ascii="Times New Roman" w:hAnsi="Times New Roman" w:cs="Times New Roman"/>
          <w:color w:val="000000" w:themeColor="text1"/>
        </w:rPr>
        <w:t xml:space="preserve">Klein, A.-M., Vaissière, B.E., Cane, J.H., Steffan-Dewenter, I., Cunningham, S.A., Kremen, C. &amp; Tscharntke, T. (2006). </w:t>
      </w:r>
      <w:hyperlink r:id="rId36">
        <w:r w:rsidRPr="00FE3049">
          <w:rPr>
            <w:rStyle w:val="Hyperlink"/>
            <w:rFonts w:ascii="Times New Roman" w:hAnsi="Times New Roman" w:cs="Times New Roman"/>
            <w:color w:val="000000" w:themeColor="text1"/>
          </w:rPr>
          <w:t>Importance of pollinators in changing landsc</w:t>
        </w:r>
        <w:r w:rsidRPr="00FE3049">
          <w:rPr>
            <w:rStyle w:val="Hyperlink"/>
            <w:rFonts w:ascii="Times New Roman" w:hAnsi="Times New Roman" w:cs="Times New Roman"/>
            <w:color w:val="000000" w:themeColor="text1"/>
          </w:rPr>
          <w:t>apes for world crops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Proceedings of the Royal Society B: Biological Sciences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274</w:t>
      </w:r>
      <w:r w:rsidRPr="00FE3049">
        <w:rPr>
          <w:rFonts w:ascii="Times New Roman" w:hAnsi="Times New Roman" w:cs="Times New Roman"/>
          <w:color w:val="000000" w:themeColor="text1"/>
        </w:rPr>
        <w:t>, 303–313.</w:t>
      </w:r>
    </w:p>
    <w:p w14:paraId="32DC512E"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27" w:name="ref-leach2018"/>
      <w:bookmarkEnd w:id="26"/>
      <w:r w:rsidRPr="00FE3049">
        <w:rPr>
          <w:rFonts w:ascii="Times New Roman" w:hAnsi="Times New Roman" w:cs="Times New Roman"/>
          <w:color w:val="000000" w:themeColor="text1"/>
        </w:rPr>
        <w:t xml:space="preserve">Leach, M.E. &amp; Drummond, F. (2018). </w:t>
      </w:r>
      <w:hyperlink r:id="rId37">
        <w:r w:rsidRPr="00FE3049">
          <w:rPr>
            <w:rStyle w:val="Hyperlink"/>
            <w:rFonts w:ascii="Times New Roman" w:hAnsi="Times New Roman" w:cs="Times New Roman"/>
            <w:color w:val="000000" w:themeColor="text1"/>
          </w:rPr>
          <w:t>A Review of Native Wild Bee Nutritional Health</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International Journal of</w:t>
      </w:r>
      <w:r w:rsidRPr="00FE3049">
        <w:rPr>
          <w:rFonts w:ascii="Times New Roman" w:hAnsi="Times New Roman" w:cs="Times New Roman"/>
          <w:i/>
          <w:iCs/>
          <w:color w:val="000000" w:themeColor="text1"/>
        </w:rPr>
        <w:t xml:space="preserve"> Ecology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2018</w:t>
      </w:r>
      <w:r w:rsidRPr="00FE3049">
        <w:rPr>
          <w:rFonts w:ascii="Times New Roman" w:hAnsi="Times New Roman" w:cs="Times New Roman"/>
          <w:color w:val="000000" w:themeColor="text1"/>
        </w:rPr>
        <w:t>, 9607246.</w:t>
      </w:r>
    </w:p>
    <w:p w14:paraId="49232841"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28" w:name="ref-leonhardt2012"/>
      <w:bookmarkEnd w:id="27"/>
      <w:r w:rsidRPr="00FE3049">
        <w:rPr>
          <w:rFonts w:ascii="Times New Roman" w:hAnsi="Times New Roman" w:cs="Times New Roman"/>
          <w:color w:val="000000" w:themeColor="text1"/>
        </w:rPr>
        <w:t xml:space="preserve">Leonhardt, S.D. &amp; Blüthgen, N. (2012). </w:t>
      </w:r>
      <w:hyperlink r:id="rId38">
        <w:r w:rsidRPr="00FE3049">
          <w:rPr>
            <w:rStyle w:val="Hyperlink"/>
            <w:rFonts w:ascii="Times New Roman" w:hAnsi="Times New Roman" w:cs="Times New Roman"/>
            <w:color w:val="000000" w:themeColor="text1"/>
          </w:rPr>
          <w:t>The same, but different: pollen foraging in honeybee and bumblebee colonies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lang w:val="es-ES"/>
        </w:rPr>
        <w:t>Apidologie</w:t>
      </w:r>
      <w:r w:rsidRPr="00FE3049">
        <w:rPr>
          <w:rFonts w:ascii="Times New Roman" w:hAnsi="Times New Roman" w:cs="Times New Roman"/>
          <w:color w:val="000000" w:themeColor="text1"/>
          <w:lang w:val="es-ES"/>
        </w:rPr>
        <w:t xml:space="preserve">, </w:t>
      </w:r>
      <w:r w:rsidRPr="00FE3049">
        <w:rPr>
          <w:rFonts w:ascii="Times New Roman" w:hAnsi="Times New Roman" w:cs="Times New Roman"/>
          <w:b/>
          <w:bCs/>
          <w:color w:val="000000" w:themeColor="text1"/>
          <w:lang w:val="es-ES"/>
        </w:rPr>
        <w:t>43</w:t>
      </w:r>
      <w:r w:rsidRPr="00FE3049">
        <w:rPr>
          <w:rFonts w:ascii="Times New Roman" w:hAnsi="Times New Roman" w:cs="Times New Roman"/>
          <w:color w:val="000000" w:themeColor="text1"/>
          <w:lang w:val="es-ES"/>
        </w:rPr>
        <w:t>, 449–464.</w:t>
      </w:r>
    </w:p>
    <w:p w14:paraId="64CC1795"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29" w:name="ref-leontidou2021"/>
      <w:bookmarkEnd w:id="28"/>
      <w:r w:rsidRPr="00FE3049">
        <w:rPr>
          <w:rFonts w:ascii="Times New Roman" w:hAnsi="Times New Roman" w:cs="Times New Roman"/>
          <w:color w:val="000000" w:themeColor="text1"/>
          <w:lang w:val="es-ES"/>
        </w:rPr>
        <w:t>Leontidou, K., Vokou, D., San</w:t>
      </w:r>
      <w:r w:rsidRPr="00FE3049">
        <w:rPr>
          <w:rFonts w:ascii="Times New Roman" w:hAnsi="Times New Roman" w:cs="Times New Roman"/>
          <w:color w:val="000000" w:themeColor="text1"/>
          <w:lang w:val="es-ES"/>
        </w:rPr>
        <w:t xml:space="preserve">dionigi, A., Bruno, A., Lazarina, M., De Groeve, J., Li, M. &amp; Varotto et al., C. (2021). </w:t>
      </w:r>
      <w:hyperlink r:id="rId39">
        <w:r w:rsidRPr="00FE3049">
          <w:rPr>
            <w:rStyle w:val="Hyperlink"/>
            <w:rFonts w:ascii="Times New Roman" w:hAnsi="Times New Roman" w:cs="Times New Roman"/>
            <w:color w:val="000000" w:themeColor="text1"/>
          </w:rPr>
          <w:t>Plant biodiversity assessment through pollen DNA metabarcoding in Natura 2000 habitats (Italian Alps)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w:t>
      </w:r>
      <w:r w:rsidRPr="00FE3049">
        <w:rPr>
          <w:rFonts w:ascii="Times New Roman" w:hAnsi="Times New Roman" w:cs="Times New Roman"/>
          <w:i/>
          <w:iCs/>
          <w:color w:val="000000" w:themeColor="text1"/>
        </w:rPr>
        <w:t>ientific Reports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11</w:t>
      </w:r>
      <w:r w:rsidRPr="00FE3049">
        <w:rPr>
          <w:rFonts w:ascii="Times New Roman" w:hAnsi="Times New Roman" w:cs="Times New Roman"/>
          <w:color w:val="000000" w:themeColor="text1"/>
        </w:rPr>
        <w:t>, 18226.</w:t>
      </w:r>
    </w:p>
    <w:p w14:paraId="04B1A465"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0" w:name="ref-leponiemi2023"/>
      <w:bookmarkEnd w:id="29"/>
      <w:r w:rsidRPr="00FE3049">
        <w:rPr>
          <w:rFonts w:ascii="Times New Roman" w:hAnsi="Times New Roman" w:cs="Times New Roman"/>
          <w:color w:val="000000" w:themeColor="text1"/>
        </w:rPr>
        <w:t xml:space="preserve">Leponiemi, M., Freitak, D., Moreno-Torres, M., Pferschy-Wenzig, E.-M., Becker-Scarpitta, A., Tiusanen, M., Vesterinen, E.J. &amp; Wirta, H. (2023). </w:t>
      </w:r>
      <w:hyperlink r:id="rId40">
        <w:r w:rsidRPr="00FE3049">
          <w:rPr>
            <w:rStyle w:val="Hyperlink"/>
            <w:rFonts w:ascii="Times New Roman" w:hAnsi="Times New Roman" w:cs="Times New Roman"/>
            <w:color w:val="000000" w:themeColor="text1"/>
          </w:rPr>
          <w:t>Honeybees’ foraging c</w:t>
        </w:r>
        <w:r w:rsidRPr="00FE3049">
          <w:rPr>
            <w:rStyle w:val="Hyperlink"/>
            <w:rFonts w:ascii="Times New Roman" w:hAnsi="Times New Roman" w:cs="Times New Roman"/>
            <w:color w:val="000000" w:themeColor="text1"/>
          </w:rPr>
          <w:t>hoices for nectar and pollen revealed by DNA metabarcoding</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Scientific Reports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13</w:t>
      </w:r>
      <w:r w:rsidRPr="00FE3049">
        <w:rPr>
          <w:rFonts w:ascii="Times New Roman" w:hAnsi="Times New Roman" w:cs="Times New Roman"/>
          <w:color w:val="000000" w:themeColor="text1"/>
        </w:rPr>
        <w:t>, 14753.</w:t>
      </w:r>
    </w:p>
    <w:p w14:paraId="2DFC746F"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1" w:name="ref-lignon2024"/>
      <w:bookmarkEnd w:id="30"/>
      <w:r w:rsidRPr="00FE3049">
        <w:rPr>
          <w:rFonts w:ascii="Times New Roman" w:hAnsi="Times New Roman" w:cs="Times New Roman"/>
          <w:color w:val="000000" w:themeColor="text1"/>
        </w:rPr>
        <w:lastRenderedPageBreak/>
        <w:t xml:space="preserve">Lignon, V.A., Mas, F., Jones, E.E., Kaiser, C. &amp; Dhami, M.K. (2024). </w:t>
      </w:r>
      <w:hyperlink r:id="rId41">
        <w:r w:rsidRPr="00FE3049">
          <w:rPr>
            <w:rStyle w:val="Hyperlink"/>
            <w:rFonts w:ascii="Times New Roman" w:hAnsi="Times New Roman" w:cs="Times New Roman"/>
            <w:color w:val="000000" w:themeColor="text1"/>
          </w:rPr>
          <w:t>The floral interface: a playground for interactions between insect pollinators, microbes, and plants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New Zealand Journal of Zoology</w:t>
      </w:r>
      <w:r w:rsidRPr="00FE3049">
        <w:rPr>
          <w:rFonts w:ascii="Times New Roman" w:hAnsi="Times New Roman" w:cs="Times New Roman"/>
          <w:color w:val="000000" w:themeColor="text1"/>
        </w:rPr>
        <w:t>, 1–20.</w:t>
      </w:r>
    </w:p>
    <w:p w14:paraId="490B9393"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2" w:name="ref-li2025"/>
      <w:bookmarkEnd w:id="31"/>
      <w:r w:rsidRPr="00FE3049">
        <w:rPr>
          <w:rFonts w:ascii="Times New Roman" w:hAnsi="Times New Roman" w:cs="Times New Roman"/>
          <w:color w:val="000000" w:themeColor="text1"/>
        </w:rPr>
        <w:t xml:space="preserve">Li, Y., Liu, C., Wang, Y., Li, M., Zou, S., Hu, X. &amp; </w:t>
      </w:r>
      <w:r w:rsidRPr="00FE3049">
        <w:rPr>
          <w:rFonts w:ascii="Times New Roman" w:hAnsi="Times New Roman" w:cs="Times New Roman"/>
          <w:color w:val="000000" w:themeColor="text1"/>
        </w:rPr>
        <w:t xml:space="preserve">Chen et al., Z. (2025). </w:t>
      </w:r>
      <w:hyperlink r:id="rId42">
        <w:r w:rsidRPr="00FE3049">
          <w:rPr>
            <w:rStyle w:val="Hyperlink"/>
            <w:rFonts w:ascii="Times New Roman" w:hAnsi="Times New Roman" w:cs="Times New Roman"/>
            <w:color w:val="000000" w:themeColor="text1"/>
          </w:rPr>
          <w:t>Urban wild bee well-being revealed by gut metagenome data: A mason bee model</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Insect Science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32</w:t>
      </w:r>
      <w:r w:rsidRPr="00FE3049">
        <w:rPr>
          <w:rFonts w:ascii="Times New Roman" w:hAnsi="Times New Roman" w:cs="Times New Roman"/>
          <w:color w:val="000000" w:themeColor="text1"/>
        </w:rPr>
        <w:t>.</w:t>
      </w:r>
    </w:p>
    <w:p w14:paraId="5C2952A8"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3" w:name="ref-lowe2022"/>
      <w:bookmarkEnd w:id="32"/>
      <w:r w:rsidRPr="00FE3049">
        <w:rPr>
          <w:rFonts w:ascii="Times New Roman" w:hAnsi="Times New Roman" w:cs="Times New Roman"/>
          <w:color w:val="000000" w:themeColor="text1"/>
        </w:rPr>
        <w:t xml:space="preserve">Lowe, A., Jones, L., Witter, L., Creer, S. &amp; de Vere, N. (2022). </w:t>
      </w:r>
      <w:hyperlink r:id="rId43">
        <w:r w:rsidRPr="00FE3049">
          <w:rPr>
            <w:rStyle w:val="Hyperlink"/>
            <w:rFonts w:ascii="Times New Roman" w:hAnsi="Times New Roman" w:cs="Times New Roman"/>
            <w:color w:val="000000" w:themeColor="text1"/>
          </w:rPr>
          <w:t>Using DNA Metabarcoding to Identify Floral Visitation by Pollinators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Diversity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14</w:t>
      </w:r>
      <w:r w:rsidRPr="00FE3049">
        <w:rPr>
          <w:rFonts w:ascii="Times New Roman" w:hAnsi="Times New Roman" w:cs="Times New Roman"/>
          <w:color w:val="000000" w:themeColor="text1"/>
        </w:rPr>
        <w:t>, 236.</w:t>
      </w:r>
    </w:p>
    <w:p w14:paraId="3854D238"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4" w:name="ref-mayr2021"/>
      <w:bookmarkEnd w:id="33"/>
      <w:r w:rsidRPr="00FE3049">
        <w:rPr>
          <w:rFonts w:ascii="Times New Roman" w:hAnsi="Times New Roman" w:cs="Times New Roman"/>
          <w:color w:val="000000" w:themeColor="text1"/>
        </w:rPr>
        <w:t xml:space="preserve">Mayr, A.V., Keller, A., Peters, M.K., Grimmer, G., Krischke, B., Geyer, M., Schmitt, T. &amp; Steffan-Dewenter, I. (2021). </w:t>
      </w:r>
      <w:hyperlink r:id="rId44">
        <w:r w:rsidRPr="00FE3049">
          <w:rPr>
            <w:rStyle w:val="Hyperlink"/>
            <w:rFonts w:ascii="Times New Roman" w:hAnsi="Times New Roman" w:cs="Times New Roman"/>
            <w:color w:val="000000" w:themeColor="text1"/>
          </w:rPr>
          <w:t>Cryptic species and hidden ecological interactions of halictine bees along an elevational gradient</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Ecology and Evolution</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11</w:t>
      </w:r>
      <w:r w:rsidRPr="00FE3049">
        <w:rPr>
          <w:rFonts w:ascii="Times New Roman" w:hAnsi="Times New Roman" w:cs="Times New Roman"/>
          <w:color w:val="000000" w:themeColor="text1"/>
        </w:rPr>
        <w:t>, 7700–7712.</w:t>
      </w:r>
    </w:p>
    <w:p w14:paraId="29118A5B"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35" w:name="ref-phyloseq"/>
      <w:bookmarkEnd w:id="34"/>
      <w:r w:rsidRPr="00FE3049">
        <w:rPr>
          <w:rFonts w:ascii="Times New Roman" w:hAnsi="Times New Roman" w:cs="Times New Roman"/>
          <w:color w:val="000000" w:themeColor="text1"/>
        </w:rPr>
        <w:t xml:space="preserve">McMurdie, P.J. &amp; Holmes, S. (2013). </w:t>
      </w:r>
      <w:hyperlink r:id="rId45">
        <w:r w:rsidRPr="00FE3049">
          <w:rPr>
            <w:rStyle w:val="Hyperlink"/>
            <w:rFonts w:ascii="Times New Roman" w:hAnsi="Times New Roman" w:cs="Times New Roman"/>
            <w:color w:val="000000" w:themeColor="text1"/>
          </w:rPr>
          <w:t>Phyloseq: An r package for reproducible interactive analysis and graphics of microbiome census data</w:t>
        </w:r>
      </w:hyperlink>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lang w:val="es-ES"/>
        </w:rPr>
        <w:t>8</w:t>
      </w:r>
      <w:r w:rsidRPr="00FE3049">
        <w:rPr>
          <w:rFonts w:ascii="Times New Roman" w:hAnsi="Times New Roman" w:cs="Times New Roman"/>
          <w:color w:val="000000" w:themeColor="text1"/>
          <w:lang w:val="es-ES"/>
        </w:rPr>
        <w:t>, e61217.</w:t>
      </w:r>
    </w:p>
    <w:p w14:paraId="20F5A0FF"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6" w:name="ref-milla2022"/>
      <w:bookmarkEnd w:id="35"/>
      <w:r w:rsidRPr="00FE3049">
        <w:rPr>
          <w:rFonts w:ascii="Times New Roman" w:hAnsi="Times New Roman" w:cs="Times New Roman"/>
          <w:color w:val="000000" w:themeColor="text1"/>
          <w:lang w:val="es-ES"/>
        </w:rPr>
        <w:t xml:space="preserve">Milla, L., Schmidt-Lebuhn, A., Bovill, J. &amp; Encinas-Viso, F. (2022). </w:t>
      </w:r>
      <w:hyperlink r:id="rId46">
        <w:r w:rsidRPr="00FE3049">
          <w:rPr>
            <w:rStyle w:val="Hyperlink"/>
            <w:rFonts w:ascii="Times New Roman" w:hAnsi="Times New Roman" w:cs="Times New Roman"/>
            <w:color w:val="000000" w:themeColor="text1"/>
          </w:rPr>
          <w:t>Monitoring of honey bee floral resources with pollen DNA metabarcoding as a complementary tool to vegetation surveys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Ecological Solutions and Evidence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3</w:t>
      </w:r>
      <w:r w:rsidRPr="00FE3049">
        <w:rPr>
          <w:rFonts w:ascii="Times New Roman" w:hAnsi="Times New Roman" w:cs="Times New Roman"/>
          <w:color w:val="000000" w:themeColor="text1"/>
        </w:rPr>
        <w:t>, e12120.</w:t>
      </w:r>
    </w:p>
    <w:p w14:paraId="0A2E2B9C"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7" w:name="ref-morozumi2022"/>
      <w:bookmarkEnd w:id="36"/>
      <w:r w:rsidRPr="00FE3049">
        <w:rPr>
          <w:rFonts w:ascii="Times New Roman" w:hAnsi="Times New Roman" w:cs="Times New Roman"/>
          <w:color w:val="000000" w:themeColor="text1"/>
        </w:rPr>
        <w:t>Morozumi, C., Loy, X., Reynolds, V., Schiffer, A., Morrison, B., Savage, J</w:t>
      </w:r>
      <w:r w:rsidRPr="00FE3049">
        <w:rPr>
          <w:rFonts w:ascii="Times New Roman" w:hAnsi="Times New Roman" w:cs="Times New Roman"/>
          <w:color w:val="000000" w:themeColor="text1"/>
        </w:rPr>
        <w:t xml:space="preserve">. &amp; Brosi, B. (2022). </w:t>
      </w:r>
      <w:hyperlink r:id="rId47">
        <w:r w:rsidRPr="00FE3049">
          <w:rPr>
            <w:rStyle w:val="Hyperlink"/>
            <w:rFonts w:ascii="Times New Roman" w:hAnsi="Times New Roman" w:cs="Times New Roman"/>
            <w:color w:val="000000" w:themeColor="text1"/>
          </w:rPr>
          <w:t>Simultaneous niche expansion and contraction in plantpollinator networks under drought</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Oikos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2022</w:t>
      </w:r>
      <w:r w:rsidRPr="00FE3049">
        <w:rPr>
          <w:rFonts w:ascii="Times New Roman" w:hAnsi="Times New Roman" w:cs="Times New Roman"/>
          <w:color w:val="000000" w:themeColor="text1"/>
        </w:rPr>
        <w:t>, e09265.</w:t>
      </w:r>
    </w:p>
    <w:p w14:paraId="284BB266"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8" w:name="ref-negri2015"/>
      <w:bookmarkEnd w:id="37"/>
      <w:r w:rsidRPr="00FE3049">
        <w:rPr>
          <w:rFonts w:ascii="Times New Roman" w:hAnsi="Times New Roman" w:cs="Times New Roman"/>
          <w:color w:val="000000" w:themeColor="text1"/>
        </w:rPr>
        <w:t>Negri, I., Mavris, C., Prisco, G.D., Caprio, E. &amp; Pellecchia, M. (2015).</w:t>
      </w:r>
      <w:r w:rsidRPr="00FE3049">
        <w:rPr>
          <w:rFonts w:ascii="Times New Roman" w:hAnsi="Times New Roman" w:cs="Times New Roman"/>
          <w:color w:val="000000" w:themeColor="text1"/>
        </w:rPr>
        <w:t xml:space="preserve"> </w:t>
      </w:r>
      <w:hyperlink r:id="rId48">
        <w:r w:rsidRPr="00FE3049">
          <w:rPr>
            <w:rStyle w:val="Hyperlink"/>
            <w:rFonts w:ascii="Times New Roman" w:hAnsi="Times New Roman" w:cs="Times New Roman"/>
            <w:color w:val="000000" w:themeColor="text1"/>
          </w:rPr>
          <w:t>Honey Bees (Apis mellifera, L.) as Active Samplers of Airborne Particulate Matter</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PLOS ONE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10</w:t>
      </w:r>
      <w:r w:rsidRPr="00FE3049">
        <w:rPr>
          <w:rFonts w:ascii="Times New Roman" w:hAnsi="Times New Roman" w:cs="Times New Roman"/>
          <w:color w:val="000000" w:themeColor="text1"/>
        </w:rPr>
        <w:t>, e0132491.</w:t>
      </w:r>
    </w:p>
    <w:p w14:paraId="7B07CBC4"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39" w:name="ref-vegan"/>
      <w:bookmarkEnd w:id="38"/>
      <w:r w:rsidRPr="00FE3049">
        <w:rPr>
          <w:rFonts w:ascii="Times New Roman" w:hAnsi="Times New Roman" w:cs="Times New Roman"/>
          <w:color w:val="000000" w:themeColor="text1"/>
        </w:rPr>
        <w:lastRenderedPageBreak/>
        <w:t>Oksanen, J., Simpson, G.L., Blanchet, F.G., Kindt, R., Legendre, P., Minchin, P.R. &amp;</w:t>
      </w:r>
      <w:r w:rsidRPr="00FE3049">
        <w:rPr>
          <w:rFonts w:ascii="Times New Roman" w:hAnsi="Times New Roman" w:cs="Times New Roman"/>
          <w:color w:val="000000" w:themeColor="text1"/>
        </w:rPr>
        <w:t xml:space="preserve"> O’Hara et al., R.B. (2024). </w:t>
      </w:r>
      <w:hyperlink r:id="rId49">
        <w:r w:rsidRPr="00FE3049">
          <w:rPr>
            <w:rStyle w:val="Hyperlink"/>
            <w:rFonts w:ascii="Times New Roman" w:hAnsi="Times New Roman" w:cs="Times New Roman"/>
            <w:color w:val="000000" w:themeColor="text1"/>
          </w:rPr>
          <w:t>Vegan: Community ecology package</w:t>
        </w:r>
      </w:hyperlink>
      <w:r w:rsidRPr="00FE3049">
        <w:rPr>
          <w:rFonts w:ascii="Times New Roman" w:hAnsi="Times New Roman" w:cs="Times New Roman"/>
          <w:color w:val="000000" w:themeColor="text1"/>
        </w:rPr>
        <w:t>.</w:t>
      </w:r>
    </w:p>
    <w:p w14:paraId="752120CD"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0" w:name="ref-pashalidou2020"/>
      <w:bookmarkEnd w:id="39"/>
      <w:r w:rsidRPr="00FE3049">
        <w:rPr>
          <w:rFonts w:ascii="Times New Roman" w:hAnsi="Times New Roman" w:cs="Times New Roman"/>
          <w:color w:val="000000" w:themeColor="text1"/>
        </w:rPr>
        <w:t xml:space="preserve">Pashalidou, F.G., Lambert, H., Peybernes, T., Mescher, M.C. &amp; De Moraes, C.M. (2020). </w:t>
      </w:r>
      <w:hyperlink r:id="rId50">
        <w:r w:rsidRPr="00FE3049">
          <w:rPr>
            <w:rStyle w:val="Hyperlink"/>
            <w:rFonts w:ascii="Times New Roman" w:hAnsi="Times New Roman" w:cs="Times New Roman"/>
            <w:color w:val="000000" w:themeColor="text1"/>
          </w:rPr>
          <w:t>Bumble bees damage plant leaves and accelerate flower production when pollen is scarce</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Science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368</w:t>
      </w:r>
      <w:r w:rsidRPr="00FE3049">
        <w:rPr>
          <w:rFonts w:ascii="Times New Roman" w:hAnsi="Times New Roman" w:cs="Times New Roman"/>
          <w:color w:val="000000" w:themeColor="text1"/>
        </w:rPr>
        <w:t>, 881–884.</w:t>
      </w:r>
    </w:p>
    <w:p w14:paraId="12F44965" w14:textId="77777777" w:rsidR="004F3A75" w:rsidRPr="00FE3049" w:rsidRDefault="009623AC" w:rsidP="00FE3049">
      <w:pPr>
        <w:pStyle w:val="Bibliography"/>
        <w:spacing w:line="480" w:lineRule="auto"/>
        <w:rPr>
          <w:rFonts w:ascii="Times New Roman" w:hAnsi="Times New Roman" w:cs="Times New Roman"/>
          <w:color w:val="000000" w:themeColor="text1"/>
          <w:lang w:val="es-ES"/>
        </w:rPr>
      </w:pPr>
      <w:bookmarkStart w:id="41" w:name="ref-popic2012"/>
      <w:bookmarkEnd w:id="40"/>
      <w:r w:rsidRPr="00FE3049">
        <w:rPr>
          <w:rFonts w:ascii="Times New Roman" w:hAnsi="Times New Roman" w:cs="Times New Roman"/>
          <w:color w:val="000000" w:themeColor="text1"/>
        </w:rPr>
        <w:t xml:space="preserve">Popic, T.J., Wardle, G.M. &amp; Davila, Y.C. (2012). </w:t>
      </w:r>
      <w:hyperlink r:id="rId51">
        <w:r w:rsidRPr="00FE3049">
          <w:rPr>
            <w:rStyle w:val="Hyperlink"/>
            <w:rFonts w:ascii="Times New Roman" w:hAnsi="Times New Roman" w:cs="Times New Roman"/>
            <w:color w:val="000000" w:themeColor="text1"/>
          </w:rPr>
          <w:t>Flower-visitor networks only partially predict the function of pollen transport by bees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lang w:val="es-ES"/>
        </w:rPr>
        <w:t>Austral Ecology</w:t>
      </w:r>
      <w:r w:rsidRPr="00FE3049">
        <w:rPr>
          <w:rFonts w:ascii="Times New Roman" w:hAnsi="Times New Roman" w:cs="Times New Roman"/>
          <w:color w:val="000000" w:themeColor="text1"/>
          <w:lang w:val="es-ES"/>
        </w:rPr>
        <w:t xml:space="preserve">, </w:t>
      </w:r>
      <w:r w:rsidRPr="00FE3049">
        <w:rPr>
          <w:rFonts w:ascii="Times New Roman" w:hAnsi="Times New Roman" w:cs="Times New Roman"/>
          <w:b/>
          <w:bCs/>
          <w:color w:val="000000" w:themeColor="text1"/>
          <w:lang w:val="es-ES"/>
        </w:rPr>
        <w:t>38</w:t>
      </w:r>
      <w:r w:rsidRPr="00FE3049">
        <w:rPr>
          <w:rFonts w:ascii="Times New Roman" w:hAnsi="Times New Roman" w:cs="Times New Roman"/>
          <w:color w:val="000000" w:themeColor="text1"/>
          <w:lang w:val="es-ES"/>
        </w:rPr>
        <w:t>, 76–86.</w:t>
      </w:r>
    </w:p>
    <w:p w14:paraId="40B050FA"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2" w:name="ref-pornon2017"/>
      <w:bookmarkEnd w:id="41"/>
      <w:r w:rsidRPr="00FE3049">
        <w:rPr>
          <w:rFonts w:ascii="Times New Roman" w:hAnsi="Times New Roman" w:cs="Times New Roman"/>
          <w:color w:val="000000" w:themeColor="text1"/>
          <w:lang w:val="es-ES"/>
        </w:rPr>
        <w:t>Pornon, A., Andalo, C.</w:t>
      </w:r>
      <w:r w:rsidRPr="00FE3049">
        <w:rPr>
          <w:rFonts w:ascii="Times New Roman" w:hAnsi="Times New Roman" w:cs="Times New Roman"/>
          <w:color w:val="000000" w:themeColor="text1"/>
          <w:lang w:val="es-ES"/>
        </w:rPr>
        <w:t xml:space="preserve">, Burrus, M. &amp; Escaravage, N. (2017). </w:t>
      </w:r>
      <w:hyperlink r:id="rId52">
        <w:r w:rsidRPr="00FE3049">
          <w:rPr>
            <w:rStyle w:val="Hyperlink"/>
            <w:rFonts w:ascii="Times New Roman" w:hAnsi="Times New Roman" w:cs="Times New Roman"/>
            <w:color w:val="000000" w:themeColor="text1"/>
          </w:rPr>
          <w:t>DNA metabarcoding data unveils invisible pollination networks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Scientific Reports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7</w:t>
      </w:r>
      <w:r w:rsidRPr="00FE3049">
        <w:rPr>
          <w:rFonts w:ascii="Times New Roman" w:hAnsi="Times New Roman" w:cs="Times New Roman"/>
          <w:color w:val="000000" w:themeColor="text1"/>
        </w:rPr>
        <w:t>, 16828.</w:t>
      </w:r>
    </w:p>
    <w:p w14:paraId="471F63E2"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3" w:name="ref-quintero2022"/>
      <w:bookmarkEnd w:id="42"/>
      <w:r w:rsidRPr="00FE3049">
        <w:rPr>
          <w:rFonts w:ascii="Times New Roman" w:hAnsi="Times New Roman" w:cs="Times New Roman"/>
          <w:color w:val="000000" w:themeColor="text1"/>
        </w:rPr>
        <w:t xml:space="preserve">Quintero, E., Isla, J. &amp; Jordano, P. (2022). </w:t>
      </w:r>
      <w:hyperlink r:id="rId53">
        <w:r w:rsidRPr="00FE3049">
          <w:rPr>
            <w:rStyle w:val="Hyperlink"/>
            <w:rFonts w:ascii="Times New Roman" w:hAnsi="Times New Roman" w:cs="Times New Roman"/>
            <w:color w:val="000000" w:themeColor="text1"/>
          </w:rPr>
          <w:t>Methodological overview and data-merging approaches in the study of plantfrugivore interactions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Oikos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2022</w:t>
      </w:r>
      <w:r w:rsidRPr="00FE3049">
        <w:rPr>
          <w:rFonts w:ascii="Times New Roman" w:hAnsi="Times New Roman" w:cs="Times New Roman"/>
          <w:color w:val="000000" w:themeColor="text1"/>
        </w:rPr>
        <w:t>.</w:t>
      </w:r>
    </w:p>
    <w:p w14:paraId="1A479F82"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4" w:name="ref-ruedenauer2016"/>
      <w:bookmarkEnd w:id="43"/>
      <w:r w:rsidRPr="00FE3049">
        <w:rPr>
          <w:rFonts w:ascii="Times New Roman" w:hAnsi="Times New Roman" w:cs="Times New Roman"/>
          <w:color w:val="000000" w:themeColor="text1"/>
        </w:rPr>
        <w:t xml:space="preserve">Ruedenauer, F.A., Spaethe, J. &amp; Leonhardt, S.D. (2016). </w:t>
      </w:r>
      <w:hyperlink r:id="rId54">
        <w:r w:rsidRPr="00FE3049">
          <w:rPr>
            <w:rStyle w:val="Hyperlink"/>
            <w:rFonts w:ascii="Times New Roman" w:hAnsi="Times New Roman" w:cs="Times New Roman"/>
            <w:color w:val="000000" w:themeColor="text1"/>
          </w:rPr>
          <w:t>Hungry for quality-individual bumblebees forage flexibly to collect high-quality pollen</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Behavioral Ecology and Sociobiology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70</w:t>
      </w:r>
      <w:r w:rsidRPr="00FE3049">
        <w:rPr>
          <w:rFonts w:ascii="Times New Roman" w:hAnsi="Times New Roman" w:cs="Times New Roman"/>
          <w:color w:val="000000" w:themeColor="text1"/>
        </w:rPr>
        <w:t>, 1209–1217.</w:t>
      </w:r>
    </w:p>
    <w:p w14:paraId="48BEFFDD"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5" w:name="ref-saunders2018"/>
      <w:bookmarkEnd w:id="44"/>
      <w:r w:rsidRPr="00FE3049">
        <w:rPr>
          <w:rFonts w:ascii="Times New Roman" w:hAnsi="Times New Roman" w:cs="Times New Roman"/>
          <w:color w:val="000000" w:themeColor="text1"/>
        </w:rPr>
        <w:t xml:space="preserve">Saunders, M.E. (2018). </w:t>
      </w:r>
      <w:hyperlink r:id="rId55">
        <w:r w:rsidRPr="00FE3049">
          <w:rPr>
            <w:rStyle w:val="Hyperlink"/>
            <w:rFonts w:ascii="Times New Roman" w:hAnsi="Times New Roman" w:cs="Times New Roman"/>
            <w:color w:val="000000" w:themeColor="text1"/>
          </w:rPr>
          <w:t>Insect pollinators collect polle</w:t>
        </w:r>
        <w:r w:rsidRPr="00FE3049">
          <w:rPr>
            <w:rStyle w:val="Hyperlink"/>
            <w:rFonts w:ascii="Times New Roman" w:hAnsi="Times New Roman" w:cs="Times New Roman"/>
            <w:color w:val="000000" w:themeColor="text1"/>
          </w:rPr>
          <w:t>n from wind-pollinated plants: implications for pollination ecology and sustainable agriculture</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Insect Conservation and Diversity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11</w:t>
      </w:r>
      <w:r w:rsidRPr="00FE3049">
        <w:rPr>
          <w:rFonts w:ascii="Times New Roman" w:hAnsi="Times New Roman" w:cs="Times New Roman"/>
          <w:color w:val="000000" w:themeColor="text1"/>
        </w:rPr>
        <w:t>, 13–31.</w:t>
      </w:r>
    </w:p>
    <w:p w14:paraId="626A9F9E"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6" w:name="ref-selva2024"/>
      <w:bookmarkEnd w:id="45"/>
      <w:r w:rsidRPr="00FE3049">
        <w:rPr>
          <w:rFonts w:ascii="Times New Roman" w:hAnsi="Times New Roman" w:cs="Times New Roman"/>
          <w:color w:val="000000" w:themeColor="text1"/>
        </w:rPr>
        <w:t>Selva, S., Moretti, M., Ruedenauer, F., Keller, A., Fournier, B., Leonhardt, S.D., Eggenberger, H.A. &amp; Abella, J.</w:t>
      </w:r>
      <w:r w:rsidRPr="00FE3049">
        <w:rPr>
          <w:rFonts w:ascii="Times New Roman" w:hAnsi="Times New Roman" w:cs="Times New Roman"/>
          <w:color w:val="000000" w:themeColor="text1"/>
        </w:rPr>
        <w:t xml:space="preserve">C. (2024). </w:t>
      </w:r>
      <w:hyperlink r:id="rId56">
        <w:r w:rsidRPr="00FE3049">
          <w:rPr>
            <w:rStyle w:val="Hyperlink"/>
            <w:rFonts w:ascii="Times New Roman" w:hAnsi="Times New Roman" w:cs="Times New Roman"/>
            <w:color w:val="000000" w:themeColor="text1"/>
          </w:rPr>
          <w:t>Urban bumblebees diversify their foraging strategy to maintain nutrient intake</w:t>
        </w:r>
      </w:hyperlink>
      <w:r w:rsidRPr="00FE3049">
        <w:rPr>
          <w:rFonts w:ascii="Times New Roman" w:hAnsi="Times New Roman" w:cs="Times New Roman"/>
          <w:color w:val="000000" w:themeColor="text1"/>
        </w:rPr>
        <w:t>.</w:t>
      </w:r>
    </w:p>
    <w:p w14:paraId="2F7A648A"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7" w:name="ref-shi2025"/>
      <w:bookmarkEnd w:id="46"/>
      <w:r w:rsidRPr="00FE3049">
        <w:rPr>
          <w:rFonts w:ascii="Times New Roman" w:hAnsi="Times New Roman" w:cs="Times New Roman"/>
          <w:color w:val="000000" w:themeColor="text1"/>
        </w:rPr>
        <w:lastRenderedPageBreak/>
        <w:t xml:space="preserve">Shi, H., Ratering, S., Schneider, B. &amp; Schnell, S. (2025). </w:t>
      </w:r>
      <w:hyperlink r:id="rId57">
        <w:r w:rsidRPr="00FE3049">
          <w:rPr>
            <w:rStyle w:val="Hyperlink"/>
            <w:rFonts w:ascii="Times New Roman" w:hAnsi="Times New Roman" w:cs="Times New Roman"/>
            <w:color w:val="000000" w:themeColor="text1"/>
          </w:rPr>
          <w:t>Microbiome of honey bee corbicular pollen: Factors influencing its structure and potential for studying pathogen transmission</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Science of The Total Environment</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958</w:t>
      </w:r>
      <w:r w:rsidRPr="00FE3049">
        <w:rPr>
          <w:rFonts w:ascii="Times New Roman" w:hAnsi="Times New Roman" w:cs="Times New Roman"/>
          <w:color w:val="000000" w:themeColor="text1"/>
        </w:rPr>
        <w:t>, 178107.</w:t>
      </w:r>
    </w:p>
    <w:p w14:paraId="056FCA71"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8" w:name="ref-shneyer2019"/>
      <w:bookmarkEnd w:id="47"/>
      <w:r w:rsidRPr="00FE3049">
        <w:rPr>
          <w:rFonts w:ascii="Times New Roman" w:hAnsi="Times New Roman" w:cs="Times New Roman"/>
          <w:color w:val="000000" w:themeColor="text1"/>
        </w:rPr>
        <w:t xml:space="preserve">Shneyer, V. &amp; Rodionov, A. (2019). </w:t>
      </w:r>
      <w:hyperlink r:id="rId58">
        <w:r w:rsidRPr="00FE3049">
          <w:rPr>
            <w:rStyle w:val="Hyperlink"/>
            <w:rFonts w:ascii="Times New Roman" w:hAnsi="Times New Roman" w:cs="Times New Roman"/>
            <w:color w:val="000000" w:themeColor="text1"/>
          </w:rPr>
          <w:t>Plant DNA barcodes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Biology Bulletin Reviews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9</w:t>
      </w:r>
      <w:r w:rsidRPr="00FE3049">
        <w:rPr>
          <w:rFonts w:ascii="Times New Roman" w:hAnsi="Times New Roman" w:cs="Times New Roman"/>
          <w:color w:val="000000" w:themeColor="text1"/>
        </w:rPr>
        <w:t>, 295–300.</w:t>
      </w:r>
    </w:p>
    <w:p w14:paraId="2CB60F65"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49" w:name="ref-smart2017"/>
      <w:bookmarkEnd w:id="48"/>
      <w:r w:rsidRPr="00FE3049">
        <w:rPr>
          <w:rFonts w:ascii="Times New Roman" w:hAnsi="Times New Roman" w:cs="Times New Roman"/>
          <w:color w:val="000000" w:themeColor="text1"/>
        </w:rPr>
        <w:t xml:space="preserve">Smart, M.D., Cornman, R.S., Iwanowicz, D.D., McDermott-Kubeczko, M., Pettis, J.S., Spivak, M.S. &amp; Otto, C.R.V. (2017). </w:t>
      </w:r>
      <w:hyperlink r:id="rId59">
        <w:r w:rsidRPr="00FE3049">
          <w:rPr>
            <w:rStyle w:val="Hyperlink"/>
            <w:rFonts w:ascii="Times New Roman" w:hAnsi="Times New Roman" w:cs="Times New Roman"/>
            <w:color w:val="000000" w:themeColor="text1"/>
          </w:rPr>
          <w:t>A comparison of honey bee-collected pollen from working agricultural lands using lig</w:t>
        </w:r>
        <w:r w:rsidRPr="00FE3049">
          <w:rPr>
            <w:rStyle w:val="Hyperlink"/>
            <w:rFonts w:ascii="Times New Roman" w:hAnsi="Times New Roman" w:cs="Times New Roman"/>
            <w:color w:val="000000" w:themeColor="text1"/>
          </w:rPr>
          <w:t>ht microscopy and ITS metabarcoding</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Environmental Entomology</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46</w:t>
      </w:r>
      <w:r w:rsidRPr="00FE3049">
        <w:rPr>
          <w:rFonts w:ascii="Times New Roman" w:hAnsi="Times New Roman" w:cs="Times New Roman"/>
          <w:color w:val="000000" w:themeColor="text1"/>
        </w:rPr>
        <w:t>, 38–49.</w:t>
      </w:r>
    </w:p>
    <w:p w14:paraId="5F794DF6"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0" w:name="ref-tanaka2020"/>
      <w:bookmarkEnd w:id="49"/>
      <w:r w:rsidRPr="00FE3049">
        <w:rPr>
          <w:rFonts w:ascii="Times New Roman" w:hAnsi="Times New Roman" w:cs="Times New Roman"/>
          <w:color w:val="000000" w:themeColor="text1"/>
        </w:rPr>
        <w:t xml:space="preserve">Tanaka, K., Nozaki, A., Nakadai, H., Shiwa, Y. &amp; Shimizu-Kadota, M. (2020). </w:t>
      </w:r>
      <w:hyperlink r:id="rId60">
        <w:r w:rsidRPr="00FE3049">
          <w:rPr>
            <w:rStyle w:val="Hyperlink"/>
            <w:rFonts w:ascii="Times New Roman" w:hAnsi="Times New Roman" w:cs="Times New Roman"/>
            <w:color w:val="000000" w:themeColor="text1"/>
          </w:rPr>
          <w:t>Using pollen DNA metabarcoding to profile ne</w:t>
        </w:r>
        <w:r w:rsidRPr="00FE3049">
          <w:rPr>
            <w:rStyle w:val="Hyperlink"/>
            <w:rFonts w:ascii="Times New Roman" w:hAnsi="Times New Roman" w:cs="Times New Roman"/>
            <w:color w:val="000000" w:themeColor="text1"/>
          </w:rPr>
          <w:t>ctar sources of urban beekeeping in Kōtō-ku, Tokyo</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BMC Research Notes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13</w:t>
      </w:r>
      <w:r w:rsidRPr="00FE3049">
        <w:rPr>
          <w:rFonts w:ascii="Times New Roman" w:hAnsi="Times New Roman" w:cs="Times New Roman"/>
          <w:color w:val="000000" w:themeColor="text1"/>
        </w:rPr>
        <w:t>, 515.</w:t>
      </w:r>
    </w:p>
    <w:p w14:paraId="4BB0C004"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1" w:name="ref-timberlake2024"/>
      <w:bookmarkEnd w:id="50"/>
      <w:r w:rsidRPr="00FE3049">
        <w:rPr>
          <w:rFonts w:ascii="Times New Roman" w:hAnsi="Times New Roman" w:cs="Times New Roman"/>
          <w:color w:val="000000" w:themeColor="text1"/>
        </w:rPr>
        <w:t xml:space="preserve">Timberlake, T.P., de Vere, N., Jones, L.E., Vaughan, I.P., Baude, M. &amp; Memmott, J. (2024a). </w:t>
      </w:r>
      <w:hyperlink r:id="rId61">
        <w:r w:rsidRPr="00FE3049">
          <w:rPr>
            <w:rStyle w:val="Hyperlink"/>
            <w:rFonts w:ascii="Times New Roman" w:hAnsi="Times New Roman" w:cs="Times New Roman"/>
            <w:color w:val="000000" w:themeColor="text1"/>
          </w:rPr>
          <w:t>Ten-a-day: Bumblebee pol</w:t>
        </w:r>
        <w:r w:rsidRPr="00FE3049">
          <w:rPr>
            <w:rStyle w:val="Hyperlink"/>
            <w:rFonts w:ascii="Times New Roman" w:hAnsi="Times New Roman" w:cs="Times New Roman"/>
            <w:color w:val="000000" w:themeColor="text1"/>
          </w:rPr>
          <w:t>len loads reveal high consistency in foraging breadth among species, sites and seasons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Ecological Solutions and Evidence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5</w:t>
      </w:r>
      <w:r w:rsidRPr="00FE3049">
        <w:rPr>
          <w:rFonts w:ascii="Times New Roman" w:hAnsi="Times New Roman" w:cs="Times New Roman"/>
          <w:color w:val="000000" w:themeColor="text1"/>
        </w:rPr>
        <w:t>, e12360.</w:t>
      </w:r>
    </w:p>
    <w:p w14:paraId="56C337A3"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2" w:name="ref-timberlake2024a"/>
      <w:bookmarkEnd w:id="51"/>
      <w:r w:rsidRPr="00FE3049">
        <w:rPr>
          <w:rFonts w:ascii="Times New Roman" w:hAnsi="Times New Roman" w:cs="Times New Roman"/>
          <w:color w:val="000000" w:themeColor="text1"/>
        </w:rPr>
        <w:t xml:space="preserve">Timberlake, T.P., Tew, N.E. &amp; Memmott, J. (2024b). </w:t>
      </w:r>
      <w:hyperlink r:id="rId62">
        <w:r w:rsidRPr="00FE3049">
          <w:rPr>
            <w:rStyle w:val="Hyperlink"/>
            <w:rFonts w:ascii="Times New Roman" w:hAnsi="Times New Roman" w:cs="Times New Roman"/>
            <w:color w:val="000000" w:themeColor="text1"/>
          </w:rPr>
          <w:t>Gardens reduc</w:t>
        </w:r>
        <w:r w:rsidRPr="00FE3049">
          <w:rPr>
            <w:rStyle w:val="Hyperlink"/>
            <w:rFonts w:ascii="Times New Roman" w:hAnsi="Times New Roman" w:cs="Times New Roman"/>
            <w:color w:val="000000" w:themeColor="text1"/>
          </w:rPr>
          <w:t>e seasonal hunger gaps for farmland pollinators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Proceedings of the Royal Society B: Biological Sciences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291</w:t>
      </w:r>
      <w:r w:rsidRPr="00FE3049">
        <w:rPr>
          <w:rFonts w:ascii="Times New Roman" w:hAnsi="Times New Roman" w:cs="Times New Roman"/>
          <w:color w:val="000000" w:themeColor="text1"/>
        </w:rPr>
        <w:t>.</w:t>
      </w:r>
    </w:p>
    <w:p w14:paraId="1A3A4E6B"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3" w:name="ref-vaudo2015"/>
      <w:bookmarkEnd w:id="52"/>
      <w:r w:rsidRPr="00FE3049">
        <w:rPr>
          <w:rFonts w:ascii="Times New Roman" w:hAnsi="Times New Roman" w:cs="Times New Roman"/>
          <w:color w:val="000000" w:themeColor="text1"/>
        </w:rPr>
        <w:t xml:space="preserve">Vaudo, A.D. (2015). </w:t>
      </w:r>
      <w:hyperlink r:id="rId63">
        <w:r w:rsidRPr="00FE3049">
          <w:rPr>
            <w:rStyle w:val="Hyperlink"/>
            <w:rFonts w:ascii="Times New Roman" w:hAnsi="Times New Roman" w:cs="Times New Roman"/>
            <w:color w:val="000000" w:themeColor="text1"/>
          </w:rPr>
          <w:t>Bee nutrition and floral resource restoration</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 xml:space="preserve">Current Opinion </w:t>
      </w:r>
      <w:r w:rsidRPr="00FE3049">
        <w:rPr>
          <w:rFonts w:ascii="Times New Roman" w:hAnsi="Times New Roman" w:cs="Times New Roman"/>
          <w:i/>
          <w:iCs/>
          <w:color w:val="000000" w:themeColor="text1"/>
        </w:rPr>
        <w:t>in Insect Science</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10</w:t>
      </w:r>
      <w:r w:rsidRPr="00FE3049">
        <w:rPr>
          <w:rFonts w:ascii="Times New Roman" w:hAnsi="Times New Roman" w:cs="Times New Roman"/>
          <w:color w:val="000000" w:themeColor="text1"/>
        </w:rPr>
        <w:t>, 133–141.</w:t>
      </w:r>
    </w:p>
    <w:p w14:paraId="49DF2F6B"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4" w:name="ref-white1990"/>
      <w:bookmarkEnd w:id="53"/>
      <w:r w:rsidRPr="00FE3049">
        <w:rPr>
          <w:rFonts w:ascii="Times New Roman" w:hAnsi="Times New Roman" w:cs="Times New Roman"/>
          <w:color w:val="000000" w:themeColor="text1"/>
        </w:rPr>
        <w:t xml:space="preserve">White, T.J., Bruns, T.D., Lee, S.B. &amp; Taylor, J.W. (1990). </w:t>
      </w:r>
      <w:hyperlink r:id="rId64">
        <w:r w:rsidRPr="00FE3049">
          <w:rPr>
            <w:rStyle w:val="Hyperlink"/>
            <w:rFonts w:ascii="Times New Roman" w:hAnsi="Times New Roman" w:cs="Times New Roman"/>
            <w:color w:val="000000" w:themeColor="text1"/>
          </w:rPr>
          <w:t>Amplification and direct sequencing of fungal ribosomal RNA Genes for phylogenetics</w:t>
        </w:r>
      </w:hyperlink>
      <w:r w:rsidRPr="00FE3049">
        <w:rPr>
          <w:rFonts w:ascii="Times New Roman" w:hAnsi="Times New Roman" w:cs="Times New Roman"/>
          <w:color w:val="000000" w:themeColor="text1"/>
        </w:rPr>
        <w:t>. pp. 315–322. Academic Press.</w:t>
      </w:r>
    </w:p>
    <w:p w14:paraId="122AFFD4" w14:textId="77777777" w:rsidR="004F3A75" w:rsidRPr="00FE3049" w:rsidRDefault="009623AC" w:rsidP="00FE3049">
      <w:pPr>
        <w:pStyle w:val="Bibliography"/>
        <w:spacing w:line="480" w:lineRule="auto"/>
        <w:rPr>
          <w:rFonts w:ascii="Times New Roman" w:hAnsi="Times New Roman" w:cs="Times New Roman"/>
          <w:color w:val="000000" w:themeColor="text1"/>
        </w:rPr>
      </w:pPr>
      <w:bookmarkStart w:id="55" w:name="ref-wood2022"/>
      <w:bookmarkEnd w:id="54"/>
      <w:r w:rsidRPr="00FE3049">
        <w:rPr>
          <w:rFonts w:ascii="Times New Roman" w:hAnsi="Times New Roman" w:cs="Times New Roman"/>
          <w:color w:val="000000" w:themeColor="text1"/>
        </w:rPr>
        <w:lastRenderedPageBreak/>
        <w:t xml:space="preserve">Wood, T.J., Vanderplanck, M., Vastrade, M., Vaudo, A.D. &amp; Michez, D. (2022). </w:t>
      </w:r>
      <w:hyperlink r:id="rId65">
        <w:r w:rsidRPr="00FE3049">
          <w:rPr>
            <w:rStyle w:val="Hyperlink"/>
            <w:rFonts w:ascii="Times New Roman" w:hAnsi="Times New Roman" w:cs="Times New Roman"/>
            <w:color w:val="000000" w:themeColor="text1"/>
          </w:rPr>
          <w:t>Trees for bees: could woody plant pollen be used as a consistent resource in bee-focused agri-environment schemes?</w:t>
        </w:r>
      </w:hyperlink>
      <w:r w:rsidRPr="00FE3049">
        <w:rPr>
          <w:rFonts w:ascii="Times New Roman" w:hAnsi="Times New Roman" w:cs="Times New Roman"/>
          <w:color w:val="000000" w:themeColor="text1"/>
        </w:rPr>
        <w:t xml:space="preserve"> </w:t>
      </w:r>
      <w:r w:rsidRPr="00FE3049">
        <w:rPr>
          <w:rFonts w:ascii="Times New Roman" w:hAnsi="Times New Roman" w:cs="Times New Roman"/>
          <w:i/>
          <w:iCs/>
          <w:color w:val="000000" w:themeColor="text1"/>
        </w:rPr>
        <w:t>Entomologia Generalis</w:t>
      </w:r>
      <w:r w:rsidRPr="00FE3049">
        <w:rPr>
          <w:rFonts w:ascii="Times New Roman" w:hAnsi="Times New Roman" w:cs="Times New Roman"/>
          <w:color w:val="000000" w:themeColor="text1"/>
        </w:rPr>
        <w:t xml:space="preserve">, </w:t>
      </w:r>
      <w:r w:rsidRPr="00FE3049">
        <w:rPr>
          <w:rFonts w:ascii="Times New Roman" w:hAnsi="Times New Roman" w:cs="Times New Roman"/>
          <w:b/>
          <w:bCs/>
          <w:color w:val="000000" w:themeColor="text1"/>
        </w:rPr>
        <w:t>42</w:t>
      </w:r>
      <w:r w:rsidRPr="00FE3049">
        <w:rPr>
          <w:rFonts w:ascii="Times New Roman" w:hAnsi="Times New Roman" w:cs="Times New Roman"/>
          <w:color w:val="000000" w:themeColor="text1"/>
        </w:rPr>
        <w:t>, 361.</w:t>
      </w:r>
      <w:bookmarkEnd w:id="0"/>
      <w:bookmarkEnd w:id="2"/>
      <w:bookmarkEnd w:id="55"/>
    </w:p>
    <w:sectPr w:rsidR="004F3A75" w:rsidRPr="00FE3049" w:rsidSect="00FE3049">
      <w:footerReference w:type="default" r:id="rId66"/>
      <w:footnotePr>
        <w:numRestart w:val="eachSect"/>
      </w:footnotePr>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E24CE3" w14:textId="77777777" w:rsidR="009623AC" w:rsidRDefault="009623AC" w:rsidP="00FE3049">
      <w:pPr>
        <w:spacing w:after="0"/>
      </w:pPr>
      <w:r>
        <w:separator/>
      </w:r>
    </w:p>
  </w:endnote>
  <w:endnote w:type="continuationSeparator" w:id="0">
    <w:p w14:paraId="229D3FE9" w14:textId="77777777" w:rsidR="009623AC" w:rsidRDefault="009623AC" w:rsidP="00FE30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8879599"/>
      <w:docPartObj>
        <w:docPartGallery w:val="Page Numbers (Bottom of Page)"/>
        <w:docPartUnique/>
      </w:docPartObj>
    </w:sdtPr>
    <w:sdtContent>
      <w:p w14:paraId="6A3A51F9" w14:textId="5856F467" w:rsidR="00FE3049" w:rsidRDefault="00FE3049">
        <w:pPr>
          <w:pStyle w:val="Footer"/>
          <w:jc w:val="right"/>
        </w:pPr>
        <w:r>
          <w:fldChar w:fldCharType="begin"/>
        </w:r>
        <w:r>
          <w:instrText>PAGE   \* MERGEFORMAT</w:instrText>
        </w:r>
        <w:r>
          <w:fldChar w:fldCharType="separate"/>
        </w:r>
        <w:r>
          <w:rPr>
            <w:lang w:val="en-GB"/>
          </w:rPr>
          <w:t>2</w:t>
        </w:r>
        <w:r>
          <w:fldChar w:fldCharType="end"/>
        </w:r>
      </w:p>
    </w:sdtContent>
  </w:sdt>
  <w:p w14:paraId="20686CFD" w14:textId="77777777" w:rsidR="00FE3049" w:rsidRDefault="00FE30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78CC3" w14:textId="77777777" w:rsidR="009623AC" w:rsidRDefault="009623AC" w:rsidP="00FE3049">
      <w:pPr>
        <w:spacing w:after="0"/>
      </w:pPr>
      <w:r>
        <w:separator/>
      </w:r>
    </w:p>
  </w:footnote>
  <w:footnote w:type="continuationSeparator" w:id="0">
    <w:p w14:paraId="65C1600E" w14:textId="77777777" w:rsidR="009623AC" w:rsidRDefault="009623AC" w:rsidP="00FE30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19E23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F3A75"/>
    <w:rsid w:val="004F3A75"/>
    <w:rsid w:val="009623AC"/>
    <w:rsid w:val="00FE3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A4368"/>
  <w15:docId w15:val="{3EB55293-091F-4933-9F61-41554D5E1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FE3049"/>
    <w:pPr>
      <w:tabs>
        <w:tab w:val="center" w:pos="4680"/>
        <w:tab w:val="right" w:pos="9360"/>
      </w:tabs>
      <w:spacing w:after="0"/>
    </w:pPr>
  </w:style>
  <w:style w:type="character" w:customStyle="1" w:styleId="HeaderChar">
    <w:name w:val="Header Char"/>
    <w:basedOn w:val="DefaultParagraphFont"/>
    <w:link w:val="Header"/>
    <w:rsid w:val="00FE3049"/>
  </w:style>
  <w:style w:type="paragraph" w:styleId="Footer">
    <w:name w:val="footer"/>
    <w:basedOn w:val="Normal"/>
    <w:link w:val="FooterChar"/>
    <w:uiPriority w:val="99"/>
    <w:unhideWhenUsed/>
    <w:rsid w:val="00FE3049"/>
    <w:pPr>
      <w:tabs>
        <w:tab w:val="center" w:pos="4680"/>
        <w:tab w:val="right" w:pos="9360"/>
      </w:tabs>
      <w:spacing w:after="0"/>
    </w:pPr>
  </w:style>
  <w:style w:type="character" w:customStyle="1" w:styleId="FooterChar">
    <w:name w:val="Footer Char"/>
    <w:basedOn w:val="DefaultParagraphFont"/>
    <w:link w:val="Footer"/>
    <w:uiPriority w:val="99"/>
    <w:rsid w:val="00FE3049"/>
  </w:style>
  <w:style w:type="character" w:styleId="LineNumber">
    <w:name w:val="line number"/>
    <w:basedOn w:val="DefaultParagraphFont"/>
    <w:semiHidden/>
    <w:unhideWhenUsed/>
    <w:rsid w:val="00FE30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371/journal.pone.0008613" TargetMode="External"/><Relationship Id="rId21" Type="http://schemas.openxmlformats.org/officeDocument/2006/relationships/hyperlink" Target="https://doi.org/10.3732/apps.1600124" TargetMode="External"/><Relationship Id="rId34" Type="http://schemas.openxmlformats.org/officeDocument/2006/relationships/hyperlink" Target="https://doi.org/10.15470/R7IFMA" TargetMode="External"/><Relationship Id="rId42" Type="http://schemas.openxmlformats.org/officeDocument/2006/relationships/hyperlink" Target="https://doi.org/10.1111/1744-7917.70051" TargetMode="External"/><Relationship Id="rId47" Type="http://schemas.openxmlformats.org/officeDocument/2006/relationships/hyperlink" Target="https://doi.org/10.1111/oik.09265" TargetMode="External"/><Relationship Id="rId50" Type="http://schemas.openxmlformats.org/officeDocument/2006/relationships/hyperlink" Target="https://doi.org/10.1126/science.aay0496" TargetMode="External"/><Relationship Id="rId55" Type="http://schemas.openxmlformats.org/officeDocument/2006/relationships/hyperlink" Target="https://doi.org/10.1111/icad.12243" TargetMode="External"/><Relationship Id="rId63" Type="http://schemas.openxmlformats.org/officeDocument/2006/relationships/hyperlink" Target="https://doi.org/10.1016/j.cois.2015.05.008"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38/s41598-020-61198-6" TargetMode="External"/><Relationship Id="rId29" Type="http://schemas.openxmlformats.org/officeDocument/2006/relationships/hyperlink" Target="https://doi.org/10.1002/aps3.11601" TargetMode="External"/><Relationship Id="rId11" Type="http://schemas.openxmlformats.org/officeDocument/2006/relationships/image" Target="media/image5.png"/><Relationship Id="rId24" Type="http://schemas.openxmlformats.org/officeDocument/2006/relationships/hyperlink" Target="https://doi.org/10.3732/ajb.1000391" TargetMode="External"/><Relationship Id="rId32" Type="http://schemas.openxmlformats.org/officeDocument/2006/relationships/hyperlink" Target="https://doi.org/10.1016/j.cois.2020.01.005" TargetMode="External"/><Relationship Id="rId37" Type="http://schemas.openxmlformats.org/officeDocument/2006/relationships/hyperlink" Target="https://doi.org/10.1155/2018/9607246" TargetMode="External"/><Relationship Id="rId40" Type="http://schemas.openxmlformats.org/officeDocument/2006/relationships/hyperlink" Target="https://doi.org/10.1038/s41598-023-42102-4" TargetMode="External"/><Relationship Id="rId45" Type="http://schemas.openxmlformats.org/officeDocument/2006/relationships/hyperlink" Target="http://dx.plos.org/10.1371/journal.pone.0061217" TargetMode="External"/><Relationship Id="rId53" Type="http://schemas.openxmlformats.org/officeDocument/2006/relationships/hyperlink" Target="https://doi.org/10.1111/oik.08379" TargetMode="External"/><Relationship Id="rId58" Type="http://schemas.openxmlformats.org/officeDocument/2006/relationships/hyperlink" Target="https://doi.org/10.1134/S207908641904008X" TargetMode="External"/><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doi.org/10.1002/2688-8319.12360" TargetMode="External"/><Relationship Id="rId19" Type="http://schemas.openxmlformats.org/officeDocument/2006/relationships/hyperlink" Target="https://doi.org/10.1111/mec.14840" TargetMode="External"/><Relationship Id="rId14" Type="http://schemas.openxmlformats.org/officeDocument/2006/relationships/hyperlink" Target="https://doi.org/10.1111/mec.16112" TargetMode="External"/><Relationship Id="rId22" Type="http://schemas.openxmlformats.org/officeDocument/2006/relationships/hyperlink" Target="https://doi.org/10.1186/1472-6785-6-9" TargetMode="External"/><Relationship Id="rId27" Type="http://schemas.openxmlformats.org/officeDocument/2006/relationships/hyperlink" Target="https://doi.org/10.1186/s40168-018-0605-2" TargetMode="External"/><Relationship Id="rId30" Type="http://schemas.openxmlformats.org/officeDocument/2006/relationships/hyperlink" Target="https://doi.org/10.1111/1462-2920.16159" TargetMode="External"/><Relationship Id="rId35" Type="http://schemas.openxmlformats.org/officeDocument/2006/relationships/hyperlink" Target="https://doi.org/10.1007/s10905-025-09893-y" TargetMode="External"/><Relationship Id="rId43" Type="http://schemas.openxmlformats.org/officeDocument/2006/relationships/hyperlink" Target="https://doi.org/10.3390/d14040236" TargetMode="External"/><Relationship Id="rId48" Type="http://schemas.openxmlformats.org/officeDocument/2006/relationships/hyperlink" Target="https://doi.org/10.1371/journal.pone.0132491" TargetMode="External"/><Relationship Id="rId56" Type="http://schemas.openxmlformats.org/officeDocument/2006/relationships/hyperlink" Target="https://ecoevorxiv.org/repository/view/7812/" TargetMode="External"/><Relationship Id="rId64"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8" Type="http://schemas.openxmlformats.org/officeDocument/2006/relationships/image" Target="media/image2.png"/><Relationship Id="rId51" Type="http://schemas.openxmlformats.org/officeDocument/2006/relationships/hyperlink" Target="https://doi.org/10.1111/j.1442-9993.2012.02377.x"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111/icad.12736" TargetMode="External"/><Relationship Id="rId25" Type="http://schemas.openxmlformats.org/officeDocument/2006/relationships/hyperlink" Target="https://doi.org/10.1038/nmeth.3869" TargetMode="External"/><Relationship Id="rId33" Type="http://schemas.openxmlformats.org/officeDocument/2006/relationships/hyperlink" Target="https://doi.org/10.1007/s00248-022-02027-3" TargetMode="External"/><Relationship Id="rId38" Type="http://schemas.openxmlformats.org/officeDocument/2006/relationships/hyperlink" Target="https://doi.org/10.1007/s13592-011-0112-y" TargetMode="External"/><Relationship Id="rId46" Type="http://schemas.openxmlformats.org/officeDocument/2006/relationships/hyperlink" Target="https://doi.org/10.1002/2688-8319.12120" TargetMode="External"/><Relationship Id="rId59" Type="http://schemas.openxmlformats.org/officeDocument/2006/relationships/hyperlink" Target="https://doi.org/10.1093/ee/nvw159" TargetMode="External"/><Relationship Id="rId67" Type="http://schemas.openxmlformats.org/officeDocument/2006/relationships/fontTable" Target="fontTable.xml"/><Relationship Id="rId20" Type="http://schemas.openxmlformats.org/officeDocument/2006/relationships/hyperlink" Target="https://doi.org/10.1139/gen-2015-0200" TargetMode="External"/><Relationship Id="rId41" Type="http://schemas.openxmlformats.org/officeDocument/2006/relationships/hyperlink" Target="https://doi.org/10.1080/03014223.2024.2353285" TargetMode="External"/><Relationship Id="rId54" Type="http://schemas.openxmlformats.org/officeDocument/2006/relationships/hyperlink" Target="https://doi.org/10.1007/s00265-016-2129-8" TargetMode="External"/><Relationship Id="rId62" Type="http://schemas.openxmlformats.org/officeDocument/2006/relationships/hyperlink" Target="https://doi.org/10.1098/rspb.2024.152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389/fevo.2022.735588" TargetMode="External"/><Relationship Id="rId23" Type="http://schemas.openxmlformats.org/officeDocument/2006/relationships/hyperlink" Target="https://doi.org/10.1111/j.1461-0248.2009.01296.x" TargetMode="External"/><Relationship Id="rId28" Type="http://schemas.openxmlformats.org/officeDocument/2006/relationships/hyperlink" Target="https://doi.org/10.1038/srep42838" TargetMode="External"/><Relationship Id="rId36" Type="http://schemas.openxmlformats.org/officeDocument/2006/relationships/hyperlink" Target="https://doi.org/10.1098/rspb.2006.3721" TargetMode="External"/><Relationship Id="rId49" Type="http://schemas.openxmlformats.org/officeDocument/2006/relationships/hyperlink" Target="https://CRAN.R-project.org/package=vegan" TargetMode="External"/><Relationship Id="rId57" Type="http://schemas.openxmlformats.org/officeDocument/2006/relationships/hyperlink" Target="https://doi.org/10.1016/j.scitotenv.2024.178107" TargetMode="External"/><Relationship Id="rId10" Type="http://schemas.openxmlformats.org/officeDocument/2006/relationships/image" Target="media/image4.png"/><Relationship Id="rId31" Type="http://schemas.openxmlformats.org/officeDocument/2006/relationships/hyperlink" Target="https://doi.org/10.1016/j.pecon.2023.03.003" TargetMode="External"/><Relationship Id="rId44" Type="http://schemas.openxmlformats.org/officeDocument/2006/relationships/hyperlink" Target="https://doi.org/10.1002/ece3.7605" TargetMode="External"/><Relationship Id="rId52" Type="http://schemas.openxmlformats.org/officeDocument/2006/relationships/hyperlink" Target="https://doi.org/10.1038/s41598-017-16785-5" TargetMode="External"/><Relationship Id="rId60" Type="http://schemas.openxmlformats.org/officeDocument/2006/relationships/hyperlink" Target="https://doi.org/10.1186/s13104-020-05361-2" TargetMode="External"/><Relationship Id="rId65" Type="http://schemas.openxmlformats.org/officeDocument/2006/relationships/hyperlink" Target="https://doi.org/10.1127/entomologia/2021/1241"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jpg"/><Relationship Id="rId18" Type="http://schemas.openxmlformats.org/officeDocument/2006/relationships/hyperlink" Target="https://doi.org/10.6084/M9.FIGSHARE.14936004.V1" TargetMode="External"/><Relationship Id="rId39" Type="http://schemas.openxmlformats.org/officeDocument/2006/relationships/hyperlink" Target="https://doi.org/10.1038/s41598-021-9761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30</Pages>
  <Words>7271</Words>
  <Characters>41450</Characters>
  <Application>Microsoft Office Word</Application>
  <DocSecurity>0</DocSecurity>
  <Lines>345</Lines>
  <Paragraphs>97</Paragraphs>
  <ScaleCrop>false</ScaleCrop>
  <Company/>
  <LinksUpToDate>false</LinksUpToDate>
  <CharactersWithSpaces>48624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2026-05-05T09:14:00Z</dcterms:created>
  <dcterms:modified xsi:type="dcterms:W3CDTF">2026-05-05T09:27:00Z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