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7719B0" w14:textId="77777777" w:rsidR="001C61AE" w:rsidRDefault="001C61AE" w:rsidP="001C61AE">
      <w:pPr>
        <w:pStyle w:val="NormalWeb"/>
        <w:spacing w:before="240" w:beforeAutospacing="0" w:after="240" w:afterAutospacing="0" w:line="480" w:lineRule="auto"/>
      </w:pPr>
      <w:r>
        <w:rPr>
          <w:b/>
          <w:bCs/>
          <w:color w:val="000000"/>
        </w:rPr>
        <w:t>Journal:</w:t>
      </w:r>
      <w:r>
        <w:rPr>
          <w:color w:val="000000"/>
        </w:rPr>
        <w:t xml:space="preserve"> </w:t>
      </w:r>
      <w:r>
        <w:rPr>
          <w:i/>
          <w:iCs/>
          <w:color w:val="000000"/>
        </w:rPr>
        <w:t>Ecology</w:t>
      </w:r>
      <w:r>
        <w:rPr>
          <w:color w:val="000000"/>
        </w:rPr>
        <w:t xml:space="preserve"> (Manuscript type</w:t>
      </w:r>
      <w:r>
        <w:rPr>
          <w:b/>
          <w:bCs/>
          <w:color w:val="000000"/>
        </w:rPr>
        <w:t>:</w:t>
      </w:r>
      <w:r>
        <w:rPr>
          <w:color w:val="000000"/>
        </w:rPr>
        <w:t xml:space="preserve"> Article)</w:t>
      </w:r>
    </w:p>
    <w:p w14:paraId="582141BD" w14:textId="5B721468" w:rsidR="001C61AE" w:rsidRDefault="001C61AE" w:rsidP="001C61AE">
      <w:pPr>
        <w:pStyle w:val="NormalWeb"/>
        <w:spacing w:before="240" w:beforeAutospacing="0" w:after="240" w:afterAutospacing="0" w:line="480" w:lineRule="auto"/>
      </w:pPr>
      <w:r>
        <w:rPr>
          <w:b/>
          <w:bCs/>
          <w:color w:val="000000"/>
        </w:rPr>
        <w:t>Manuscript title:</w:t>
      </w:r>
      <w:r>
        <w:rPr>
          <w:color w:val="000000"/>
        </w:rPr>
        <w:t xml:space="preserve"> Assessing the Complementarity of Metabarcoding with Field Surveys for Inferring Plant–Pollinator Interactions</w:t>
      </w:r>
    </w:p>
    <w:p w14:paraId="0EE3D079" w14:textId="77777777" w:rsidR="001C61AE" w:rsidRDefault="001C61AE" w:rsidP="001C61AE">
      <w:pPr>
        <w:pStyle w:val="NormalWeb"/>
        <w:spacing w:before="0" w:beforeAutospacing="0" w:after="0" w:afterAutospacing="0" w:line="480" w:lineRule="auto"/>
      </w:pPr>
      <w:r>
        <w:rPr>
          <w:b/>
          <w:bCs/>
          <w:color w:val="000000"/>
        </w:rPr>
        <w:t>Authors:</w:t>
      </w:r>
      <w:r>
        <w:rPr>
          <w:color w:val="000000"/>
        </w:rPr>
        <w:t xml:space="preserve"> </w:t>
      </w:r>
      <w:r w:rsidRPr="001C61AE">
        <w:rPr>
          <w:color w:val="000000"/>
          <w:u w:val="single"/>
        </w:rPr>
        <w:t>Christian Gostout</w:t>
      </w:r>
      <w:r w:rsidRPr="001C61AE">
        <w:rPr>
          <w:color w:val="000000"/>
          <w:sz w:val="20"/>
          <w:szCs w:val="20"/>
          <w:u w:val="single"/>
          <w:vertAlign w:val="superscript"/>
        </w:rPr>
        <w:t>*1</w:t>
      </w:r>
      <w:r>
        <w:rPr>
          <w:color w:val="000000"/>
        </w:rPr>
        <w:t>, Luis J. Chueca</w:t>
      </w:r>
      <w:r w:rsidRPr="001C61AE">
        <w:rPr>
          <w:color w:val="000000"/>
          <w:sz w:val="20"/>
          <w:szCs w:val="20"/>
          <w:vertAlign w:val="superscript"/>
        </w:rPr>
        <w:t>1</w:t>
      </w:r>
      <w:r>
        <w:rPr>
          <w:color w:val="000000"/>
        </w:rPr>
        <w:t>, Jon Poza</w:t>
      </w:r>
      <w:r w:rsidRPr="001C61AE">
        <w:rPr>
          <w:color w:val="000000"/>
          <w:sz w:val="20"/>
          <w:szCs w:val="20"/>
          <w:vertAlign w:val="superscript"/>
        </w:rPr>
        <w:t>1</w:t>
      </w:r>
      <w:r>
        <w:rPr>
          <w:color w:val="000000"/>
        </w:rPr>
        <w:t>, Xabier Salgado-Irazabal</w:t>
      </w:r>
      <w:r w:rsidRPr="001C61AE">
        <w:rPr>
          <w:color w:val="000000"/>
          <w:sz w:val="20"/>
          <w:szCs w:val="20"/>
          <w:vertAlign w:val="superscript"/>
        </w:rPr>
        <w:t>1</w:t>
      </w:r>
      <w:r>
        <w:rPr>
          <w:color w:val="000000"/>
        </w:rPr>
        <w:t>, Estefanía Tobajas</w:t>
      </w:r>
      <w:r w:rsidRPr="001C61AE">
        <w:rPr>
          <w:color w:val="000000"/>
          <w:sz w:val="20"/>
          <w:szCs w:val="20"/>
          <w:vertAlign w:val="superscript"/>
        </w:rPr>
        <w:t>1</w:t>
      </w:r>
      <w:r>
        <w:rPr>
          <w:color w:val="000000"/>
        </w:rPr>
        <w:t>, Jennifer Rose</w:t>
      </w:r>
      <w:r w:rsidRPr="001C61AE">
        <w:rPr>
          <w:color w:val="000000"/>
          <w:sz w:val="20"/>
          <w:szCs w:val="20"/>
          <w:vertAlign w:val="superscript"/>
        </w:rPr>
        <w:t>1</w:t>
      </w:r>
      <w:r>
        <w:rPr>
          <w:color w:val="000000"/>
        </w:rPr>
        <w:t>, Brais Hermosilla</w:t>
      </w:r>
      <w:r w:rsidRPr="001C61AE">
        <w:rPr>
          <w:color w:val="000000"/>
          <w:sz w:val="20"/>
          <w:szCs w:val="20"/>
          <w:vertAlign w:val="superscript"/>
        </w:rPr>
        <w:t>1</w:t>
      </w:r>
      <w:r>
        <w:rPr>
          <w:color w:val="000000"/>
        </w:rPr>
        <w:t>, Marion Donald</w:t>
      </w:r>
      <w:r w:rsidRPr="001C61AE">
        <w:rPr>
          <w:color w:val="000000"/>
          <w:sz w:val="20"/>
          <w:szCs w:val="20"/>
          <w:vertAlign w:val="superscript"/>
        </w:rPr>
        <w:t>2</w:t>
      </w:r>
      <w:r>
        <w:rPr>
          <w:color w:val="000000"/>
        </w:rPr>
        <w:t>, Manpreet K. Dhami</w:t>
      </w:r>
      <w:r w:rsidRPr="001C61AE">
        <w:rPr>
          <w:color w:val="000000"/>
          <w:sz w:val="20"/>
          <w:szCs w:val="20"/>
          <w:vertAlign w:val="superscript"/>
        </w:rPr>
        <w:t>2,3</w:t>
      </w:r>
      <w:r>
        <w:rPr>
          <w:color w:val="000000"/>
        </w:rPr>
        <w:t>, Ainhoa Magrach</w:t>
      </w:r>
      <w:r w:rsidRPr="001C61AE">
        <w:rPr>
          <w:color w:val="000000"/>
          <w:sz w:val="20"/>
          <w:szCs w:val="20"/>
          <w:vertAlign w:val="superscript"/>
        </w:rPr>
        <w:t>1,4</w:t>
      </w:r>
    </w:p>
    <w:p w14:paraId="1885BA35" w14:textId="77777777" w:rsidR="001C61AE" w:rsidRDefault="001C61AE" w:rsidP="001C61AE">
      <w:pPr>
        <w:pStyle w:val="NormalWeb"/>
        <w:spacing w:before="0" w:beforeAutospacing="0" w:after="0" w:afterAutospacing="0" w:line="480" w:lineRule="auto"/>
      </w:pPr>
      <w:r w:rsidRPr="001C61AE">
        <w:rPr>
          <w:color w:val="000000"/>
          <w:sz w:val="20"/>
          <w:szCs w:val="20"/>
          <w:vertAlign w:val="superscript"/>
        </w:rPr>
        <w:t>1</w:t>
      </w:r>
      <w:r>
        <w:rPr>
          <w:color w:val="000000"/>
        </w:rPr>
        <w:t>BC3 Basque Centre for Climate Change, Sede Building 1, 1st floor, Scientific Campus of the University of the Basque Country, 48940 Leioa, Spain</w:t>
      </w:r>
    </w:p>
    <w:p w14:paraId="5D454DF5" w14:textId="77777777" w:rsidR="001C61AE" w:rsidRDefault="001C61AE" w:rsidP="001C61AE">
      <w:pPr>
        <w:pStyle w:val="NormalWeb"/>
        <w:spacing w:before="0" w:beforeAutospacing="0" w:after="0" w:afterAutospacing="0" w:line="480" w:lineRule="auto"/>
      </w:pPr>
      <w:r w:rsidRPr="001C61AE">
        <w:rPr>
          <w:color w:val="000000"/>
          <w:sz w:val="20"/>
          <w:szCs w:val="20"/>
          <w:vertAlign w:val="superscript"/>
        </w:rPr>
        <w:t>2</w:t>
      </w:r>
      <w:r>
        <w:rPr>
          <w:color w:val="000000"/>
        </w:rPr>
        <w:t>Bioeconomy Science Institute, 54 Gerald Street, Lincoln, New Zealand</w:t>
      </w:r>
    </w:p>
    <w:p w14:paraId="46CC8D84" w14:textId="77777777" w:rsidR="001C61AE" w:rsidRDefault="001C61AE" w:rsidP="001C61AE">
      <w:pPr>
        <w:pStyle w:val="NormalWeb"/>
        <w:spacing w:before="0" w:beforeAutospacing="0" w:after="0" w:afterAutospacing="0" w:line="480" w:lineRule="auto"/>
      </w:pPr>
      <w:r w:rsidRPr="001C61AE">
        <w:rPr>
          <w:color w:val="000000"/>
          <w:sz w:val="20"/>
          <w:szCs w:val="20"/>
          <w:vertAlign w:val="superscript"/>
        </w:rPr>
        <w:t>3</w:t>
      </w:r>
      <w:r>
        <w:rPr>
          <w:color w:val="000000"/>
        </w:rPr>
        <w:t>School of Biological Sciences, Waipapa Taumata Rau/ University of Auckland, Auckland, Aotearoa, New Zealand</w:t>
      </w:r>
    </w:p>
    <w:p w14:paraId="305DCECE" w14:textId="77777777" w:rsidR="001C61AE" w:rsidRDefault="001C61AE" w:rsidP="001C61AE">
      <w:pPr>
        <w:pStyle w:val="NormalWeb"/>
        <w:spacing w:before="0" w:beforeAutospacing="0" w:after="0" w:afterAutospacing="0" w:line="480" w:lineRule="auto"/>
      </w:pPr>
      <w:r w:rsidRPr="001C61AE">
        <w:rPr>
          <w:color w:val="000000"/>
          <w:sz w:val="20"/>
          <w:szCs w:val="20"/>
          <w:vertAlign w:val="superscript"/>
        </w:rPr>
        <w:t>4</w:t>
      </w:r>
      <w:r>
        <w:rPr>
          <w:color w:val="000000"/>
        </w:rPr>
        <w:t>IKERBASQUE, Basque Foundation for Science, Plaza Euskadi 5, 48009 Bilbao, Spain</w:t>
      </w:r>
    </w:p>
    <w:p w14:paraId="628006C1" w14:textId="3D9C69EC" w:rsidR="001C61AE" w:rsidRDefault="001C61AE" w:rsidP="001C61AE">
      <w:pPr>
        <w:pStyle w:val="NormalWeb"/>
        <w:spacing w:before="0" w:beforeAutospacing="0" w:after="0" w:afterAutospacing="0" w:line="480" w:lineRule="auto"/>
      </w:pPr>
      <w:r w:rsidRPr="001C61AE">
        <w:rPr>
          <w:color w:val="000000"/>
          <w:sz w:val="20"/>
          <w:szCs w:val="20"/>
          <w:vertAlign w:val="superscript"/>
        </w:rPr>
        <w:t>*</w:t>
      </w:r>
      <w:r>
        <w:rPr>
          <w:color w:val="000000"/>
        </w:rPr>
        <w:t>Corresponding author (</w:t>
      </w:r>
      <w:r>
        <w:rPr>
          <w:color w:val="000000"/>
          <w:u w:val="single"/>
        </w:rPr>
        <w:t>christian.gostout@bc3research.org)</w:t>
      </w:r>
    </w:p>
    <w:p w14:paraId="648FF91F" w14:textId="77777777" w:rsidR="001C61AE" w:rsidRDefault="001C61AE" w:rsidP="001C61AE">
      <w:pPr>
        <w:pStyle w:val="NormalWeb"/>
        <w:spacing w:before="240" w:beforeAutospacing="0" w:after="240" w:afterAutospacing="0" w:line="480" w:lineRule="auto"/>
      </w:pPr>
      <w:r>
        <w:rPr>
          <w:b/>
          <w:bCs/>
          <w:color w:val="000000"/>
        </w:rPr>
        <w:t xml:space="preserve">Open research statement: </w:t>
      </w:r>
      <w:r>
        <w:rPr>
          <w:color w:val="000000"/>
        </w:rPr>
        <w:t>All data and code used for the analyses in this manuscript are provided on an Anonymous GitHub repository (</w:t>
      </w:r>
      <w:hyperlink r:id="rId7" w:history="1">
        <w:r>
          <w:rPr>
            <w:rStyle w:val="Hyperlink"/>
            <w:color w:val="1155CC"/>
          </w:rPr>
          <w:t>https://anonymous.4open.science/r/B_pascuorum_interaction_networks</w:t>
        </w:r>
      </w:hyperlink>
      <w:r>
        <w:rPr>
          <w:color w:val="000000"/>
        </w:rPr>
        <w:t>). The public repository will be shared upon final manuscript acceptance, along with a corresponding DOI created by Zenodo. All raw amplicon sequencing data will be deposited under the project in the European Nucleotide Archive upon final manuscript acceptance.</w:t>
      </w:r>
    </w:p>
    <w:p w14:paraId="02550065" w14:textId="77777777" w:rsidR="001C61AE" w:rsidRDefault="001C61AE" w:rsidP="001C61AE">
      <w:pPr>
        <w:pStyle w:val="NormalWeb"/>
        <w:spacing w:before="240" w:beforeAutospacing="0" w:after="240" w:afterAutospacing="0" w:line="480" w:lineRule="auto"/>
      </w:pPr>
      <w:r>
        <w:rPr>
          <w:b/>
          <w:bCs/>
          <w:color w:val="000000"/>
        </w:rPr>
        <w:t>Key-words:</w:t>
      </w:r>
      <w:r>
        <w:rPr>
          <w:color w:val="000000"/>
        </w:rPr>
        <w:t xml:space="preserve"> Apidae, Amplicon sequencing, Gut microbiome, Interaction, Metabarcoding, Network, Pollinator, Plant-pollinator interaction</w:t>
      </w:r>
    </w:p>
    <w:p w14:paraId="6966CFA2" w14:textId="77777777" w:rsidR="00BB367E" w:rsidRPr="00C76FD3" w:rsidRDefault="00C76FD3" w:rsidP="00C76FD3">
      <w:pPr>
        <w:pStyle w:val="FirstParagraph"/>
        <w:spacing w:line="480" w:lineRule="auto"/>
        <w:rPr>
          <w:rFonts w:ascii="Times New Roman" w:hAnsi="Times New Roman" w:cs="Times New Roman"/>
        </w:rPr>
      </w:pPr>
      <w:r w:rsidRPr="00C76FD3">
        <w:rPr>
          <w:rFonts w:ascii="Times New Roman" w:hAnsi="Times New Roman" w:cs="Times New Roman"/>
          <w:b/>
          <w:bCs/>
        </w:rPr>
        <w:lastRenderedPageBreak/>
        <w:t>Abstract</w:t>
      </w:r>
    </w:p>
    <w:p w14:paraId="28386CB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Our understanding of plant-pollinator interaction networks hinges on the methods used to characterize the species and the interactions among them. Most networks are built from field observations that may overlook cryptic consumer–resource links, and often lack information describing the types and outcomes of these interactions, for example, whether resources are consumed directly by adults or transported to nests. To develop a more complete picture of interaction networks including functional context, we compare plant interactions from the wild pollinator species, </w:t>
      </w:r>
      <w:r w:rsidRPr="00C76FD3">
        <w:rPr>
          <w:rFonts w:ascii="Times New Roman" w:hAnsi="Times New Roman" w:cs="Times New Roman"/>
          <w:i/>
          <w:iCs/>
        </w:rPr>
        <w:t>Bombus pascuorum</w:t>
      </w:r>
      <w:r w:rsidRPr="00C76FD3">
        <w:rPr>
          <w:rFonts w:ascii="Times New Roman" w:hAnsi="Times New Roman" w:cs="Times New Roman"/>
        </w:rPr>
        <w:t>, recorded using three methodologies. We compare (1) floral visitation interactions obtained from field observations, (2) plant consumption interactions revealed by metabarcoding of gut contents, and (3) pollen transport interactions detected by metabarcoding analysis of corbicular pollen loads. We show that both metabarcoding approaches increase the number of interactions and reveal links that were overlooked by field observations, including plant taxa that are not pollinator-dependent, yet constitute important dietary resources. Paired with floral diversity surveys, gut-content results also reveal seasonal patterns in the spatial extent and functional diversity included in forage, which other methodologies fail to demonstrate. Metabarcoding methodologies capture greater spatial, temporal, and taxonomic ranges, while field observations provide validating data with higher taxonomic precision. Our results show that integrating visitation, transport, and consumption data changes network topology and the roles of plant nodes, offering a more nuanced and complete map of interactions with clearer priorities for management. We advocate for defining interactions explicitly by their functional roles and combining methods to account for hidden structure in ecological networks.</w:t>
      </w:r>
    </w:p>
    <w:p w14:paraId="17AF93C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Introduction</w:t>
      </w:r>
    </w:p>
    <w:p w14:paraId="45C51754"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lastRenderedPageBreak/>
        <w:t>Pollination is a critical ecosystem service that is currently threatened by global anthropogenic change, including habitat loss, intensifying agriculture, pathogens, and invasive species (Klein et al. 2006). Despite the clear importance of understanding plant-pollinator interactions, our knowledge of interaction diversity remains incomplete, as the methodological approach to studying plant-pollinator interactions has historically been biased towards the plant side of interactions (Bosch et al. 2009, Evans and Kitson 2020). As a consequence, the well-established relationship between pollinator diversity and the productivity of plant communities (Artamendi et al. 2025) lacks an equally developed mirrored perspective, describing the floral diversity that supports pollinator populations. </w:t>
      </w:r>
    </w:p>
    <w:p w14:paraId="351CC9C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Ecological network approaches provide a powerful framework for describing the diversity and organization of plant–pollinator interactions and identifying the resources that support pollinator communities (Burkle and Alarcón 2011), however, existing methodologies for reconstructing interaction networks tend to emphasize structural patterns, while overlooking the functional outcomes of interactions that are critical for understanding how plant communities support pollinators (Quintero et al. 2022). In </w:t>
      </w:r>
      <w:r w:rsidRPr="00C76FD3">
        <w:rPr>
          <w:rFonts w:ascii="Times New Roman" w:hAnsi="Times New Roman" w:cs="Times New Roman"/>
          <w:i/>
          <w:iCs/>
        </w:rPr>
        <w:t>Apidae</w:t>
      </w:r>
      <w:r w:rsidRPr="00C76FD3">
        <w:rPr>
          <w:rFonts w:ascii="Times New Roman" w:hAnsi="Times New Roman" w:cs="Times New Roman"/>
        </w:rPr>
        <w:t xml:space="preserve"> species, for example, plant interactions may have several outcomes. Bees consume plant material, including pollen, nectar, or even plant tissue (Vaudo 2015, Pashalidou et al. 2020). They also collect pollen on their corbicula, which is transported to the nest for larvae (Vaudo 2015, Leach and Drummond 2018). Finally, visitation of the reproductive parts of flowers can have various outcomes for both the plant and pollinator, including pollen transfer (Emer and Memmott 2023) and pathogen transfer (Lignon et al. 2024). Interaction networks generally represent only one of these outcomes, although each is important to understanding how plant taxa support pollinators, particularly across different life stages.</w:t>
      </w:r>
    </w:p>
    <w:p w14:paraId="2C75D673"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lastRenderedPageBreak/>
        <w:t>Because the resources needed for foraging adult pollinators are different from those needed by larvae or other colony members (Vaudo 2015, Leach and Drummond 2018), transported pollen may not completely represent the interactions necessary to sustain adult pollinators. This is especially true for bumblebees (</w:t>
      </w:r>
      <w:r w:rsidRPr="00C76FD3">
        <w:rPr>
          <w:rFonts w:ascii="Times New Roman" w:hAnsi="Times New Roman" w:cs="Times New Roman"/>
          <w:i/>
          <w:iCs/>
        </w:rPr>
        <w:t>Bombus spp.</w:t>
      </w:r>
      <w:r w:rsidRPr="00C76FD3">
        <w:rPr>
          <w:rFonts w:ascii="Times New Roman" w:hAnsi="Times New Roman" w:cs="Times New Roman"/>
        </w:rPr>
        <w:t>), which are able to evaluate pollen resource quality to discern foraging choices (Leonhardt and Blüthgen 2012, Timberlake et al. 2024a). Bumblebees make trial-and-error floral visits in order to find adequate forage (Selva et al. 2024), sometimes resulting in pollen transport without consumption. Conversely, consumption, or simply visitation, may occur without resulting in transport (Popic et al. 2012).</w:t>
      </w:r>
    </w:p>
    <w:p w14:paraId="3FB0B69F"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Metagenomics, including metabarcoding, has emerged as a powerful tool for detecting plant-pollinator interactions that may be unobserved in pollen microscopy and field surveys (Bell et al. 2016, Pornon et al. 2017, Lowe et al. 2022), in some cases increasing interaction species detection by 9 - 144% (Smart et al. 2017, Milla et al. 2022, Baksay et al. 2022) and network sampling completeness up to 30%, while reducing exaggeration of specialization (Arstingstall et al. 2021), as well as revealing interactions beyond the traditionally surveyed floral community (de Vere et al. 2017, Milla et al. 2022). Advances in the reliability and accessibility of sequencing technologies have made molecular approaches more feasible for studying plant-pollinator interactions.</w:t>
      </w:r>
    </w:p>
    <w:p w14:paraId="795AB81E"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Most pollination studies applying metabarcoding focus on the external pollen loads of bees or pollen stored in nest reserves of honey or beebread (Leontidou et al. 2021, Baksay et al. 2022, Leponiemi et al. 2023, Devriese et al. 2024, Selva et al. 2024), despite the limitations of these sampling targets owed to environmental contamination (Negri et al. 2015). Beyond potential contamination, externally transported pollen has an inherently restricted capacity for representing interaction types. For example, corbicular loads are made from pollen collected for transport to </w:t>
      </w:r>
      <w:r w:rsidRPr="00C76FD3">
        <w:rPr>
          <w:rFonts w:ascii="Times New Roman" w:hAnsi="Times New Roman" w:cs="Times New Roman"/>
        </w:rPr>
        <w:lastRenderedPageBreak/>
        <w:t>the nest for brood feeding (Vaudo 2015, Leach and Drummond 2018), only directly representing pollen transport interactions (Arstingstall et al. 2021). This pollen is often the central sample type used to represent foraging networks, where it is considered synonymous with diet and successful pollination interactions (Shi et al. 2025), likely overstating its functional role.</w:t>
      </w:r>
    </w:p>
    <w:p w14:paraId="2856463E"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Pollinator intestinal tracts contain pollen and other plant material that can reveal interactions (Mayr et al. 2021, Haag et al. 2023, Li et al. 2025) with consumption as the exclusive outcome. There is an accumulating body of evidence supporting the idea that pollinators regularly search across functional groups of the plant community to meet their nutritional needs (de Vere et al. 2017, Tanaka et al. 2020, Milla et al. 2022, Wood et al. 2022, Timberlake et al. 2024a, Selva et al. 2024, Ibiyemi et al. 2025), although little attention has been given to these observations as a potentially important part of pollination studies (Saunders 2018). This understudied component of pollinator foraging together with the surprising lack of genetic analyses of pollinator gut contents, represents a clear knowledge gap.</w:t>
      </w:r>
    </w:p>
    <w:p w14:paraId="10D18F5E"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We assess whether metabarcoding of pollinator gut contents can complement the characterization of plant-pollinator interaction networks described by more common methodologies, including field observations, and external pollen load metabarcoding. To this end, we compare interaction diversity and frequencies recorded by each of these methodologies for the wild bumblebee, </w:t>
      </w:r>
      <w:r w:rsidRPr="00C76FD3">
        <w:rPr>
          <w:rFonts w:ascii="Times New Roman" w:hAnsi="Times New Roman" w:cs="Times New Roman"/>
          <w:i/>
          <w:iCs/>
        </w:rPr>
        <w:t>Bombus pascuorum</w:t>
      </w:r>
      <w:r w:rsidRPr="00C76FD3">
        <w:rPr>
          <w:rFonts w:ascii="Times New Roman" w:hAnsi="Times New Roman" w:cs="Times New Roman"/>
        </w:rPr>
        <w:t>. Because gut contents directly reflect ingested resources, this approach may reveal interactions that are undetected by observational or external pollen-based methods. We therefore expect that gut metabarcoding will identify a unique group of plant taxa compared to those detected by other methodologies, while also showing partial overlap across approaches in the plant species interacting with bumblebees.</w:t>
      </w:r>
    </w:p>
    <w:p w14:paraId="5275D0A1"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Methods</w:t>
      </w:r>
    </w:p>
    <w:p w14:paraId="0CD19545"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lastRenderedPageBreak/>
        <w:t xml:space="preserve">Our sample collection was conducted in Gorbeia Natural Park (coord: 43.068, -2.796), a protected area in N Spain. We selected 16 sampling sites located within the mixed zones of meadows and shrublands around or above 800 m a.sl.. We conducted fieldwork from early April to the end of July, 2023, covering the main flowering season and peak annual pollinator activity. Each site was visited six times throughout the flowering season, separated by approximately two-week periods. During each visit, we conducted three types of surveys: (1) floral diversity surveys (“flower counts”), (2) interaction transect surveys, and (3) </w:t>
      </w:r>
      <w:r w:rsidRPr="00C76FD3">
        <w:rPr>
          <w:rFonts w:ascii="Times New Roman" w:hAnsi="Times New Roman" w:cs="Times New Roman"/>
          <w:i/>
          <w:iCs/>
        </w:rPr>
        <w:t>Bombus pascuorum</w:t>
      </w:r>
      <w:r w:rsidRPr="00C76FD3">
        <w:rPr>
          <w:rFonts w:ascii="Times New Roman" w:hAnsi="Times New Roman" w:cs="Times New Roman"/>
        </w:rPr>
        <w:t xml:space="preserve"> specimen collection for metabarcoding analyses.</w:t>
      </w:r>
    </w:p>
    <w:p w14:paraId="5F58374E"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For both interaction transect and flower count surveys we used one 250 m transect at each site, recording observations within a ~2 m wide transect line. Interaction surveys were conducted three times per day (~11:00, ~13:00, ~15:00), each lasting 1 h. We recorded all observations of </w:t>
      </w:r>
      <w:r w:rsidRPr="00C76FD3">
        <w:rPr>
          <w:rFonts w:ascii="Times New Roman" w:hAnsi="Times New Roman" w:cs="Times New Roman"/>
          <w:i/>
          <w:iCs/>
        </w:rPr>
        <w:t>Bombus pascuorum</w:t>
      </w:r>
      <w:r w:rsidRPr="00C76FD3">
        <w:rPr>
          <w:rFonts w:ascii="Times New Roman" w:hAnsi="Times New Roman" w:cs="Times New Roman"/>
        </w:rPr>
        <w:t xml:space="preserve"> individuals contacting the reproductive parts of herbaceous flowers. For each site and sampling period, one flower count was conducted by recording all of the flowering herbaceous species within the transect.</w:t>
      </w:r>
    </w:p>
    <w:p w14:paraId="564E90DD"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For every period visit at each site, we collected up to five </w:t>
      </w:r>
      <w:r w:rsidRPr="00C76FD3">
        <w:rPr>
          <w:rFonts w:ascii="Times New Roman" w:hAnsi="Times New Roman" w:cs="Times New Roman"/>
          <w:i/>
          <w:iCs/>
        </w:rPr>
        <w:t>B. pascuorum</w:t>
      </w:r>
      <w:r w:rsidRPr="00C76FD3">
        <w:rPr>
          <w:rFonts w:ascii="Times New Roman" w:hAnsi="Times New Roman" w:cs="Times New Roman"/>
        </w:rPr>
        <w:t xml:space="preserve"> specimens for molecular analyses (N = 126). We brought specimens back from the field and froze them at -20°C until processed. In the lab, we extracted the entire gut and honey stomach and, if present, and collected pollen, when available, from the corbicula of specimens into sterile 1.5 mL centrifuge tubes. Pollen samples were stored individually by specimen sample at -20°C.</w:t>
      </w:r>
    </w:p>
    <w:p w14:paraId="1F184CD9"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Genomic DNA was extracted from guts using the NucleoSpin® 96 Soil kit (Macherey-Nagel, Düren, Germany). We followed the kit manufacturer protocol, only adjusting centrifuge spin duration to account for differing maxiumum velocity available within our centrifuge (Appendix S1: Section 1). Nanodrop spectrophotometry was used to quantify DNA concentration and purity </w:t>
      </w:r>
      <w:r w:rsidRPr="00C76FD3">
        <w:rPr>
          <w:rFonts w:ascii="Times New Roman" w:hAnsi="Times New Roman" w:cs="Times New Roman"/>
        </w:rPr>
        <w:lastRenderedPageBreak/>
        <w:t>of the extracts by measuring reflectance at 260/230 nm wavelengths. To avoid site and period bias, all samples were randomized before the DNA extraction.</w:t>
      </w:r>
    </w:p>
    <w:p w14:paraId="0248DD27"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DNA was extracted from pollen pellets (N = 25) using the Machery-Nagel NucleoSpin® 8 Food kit, including additional initial steps recommended by the kit’s supplementary protocol for pollen DNA extraction (Appendix S1: Section 2). A Qubit high sensitivity dsDNA kit (Thermo Fisher Scientific) was used to quantify DNA extract concentrations for randomly selected samples.</w:t>
      </w:r>
    </w:p>
    <w:p w14:paraId="4058DD1C"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For gut-content samples, DNA was amplified in duplicate using the DFD forward and ASDFAS reverse primers. As described previously by Donald et al. (2022), we used a dual-indexed amplicon multiplexing approach to generate our metabarcoding library. Briefly, we performed a first amplification step using the modified (Appendix S1: Section 3) internal transcribed spacer 2 primer pair, ITS-S2F (ATGCGATACTTGGTGTGAAT) (Chen et al. 2010) and ITS4R (TCCTCCGCTTATTGATATGC) (White et al. 1990), in duplicate. The final library was sequenced on an illumina MiSeq 3000 instrument for 300 cycles in paired-end mode at the Ecological Genetics laboratory, Bioeconomy Science Institute, Auckland, New Zealand. Pollen DNA samples were sequenced and processed by NOVOGENE (Planegg, Germany) using the same primer pair on an illumina platform.</w:t>
      </w:r>
    </w:p>
    <w:p w14:paraId="2C276101"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For all samples, raw reads were processed using the DADA2 bioinformatics pipeline (Callahan et al. 2016), producing two key datasets: a sample x ASV counts matrix and reference ASV fasta file (Appendix S1: Section 4). Reference ASVs were used to call taxonomic identities using DADA2 in conjunction with the published ITS2 reference database of Bell (2021). Taxonomy data were combined with the sample x ASV matrix and sample metadata using phyloseq (McMurdie and Holmes 2013) and downstream quality control and statistical analyses were performed in the R analysis environment. For contaminant and misidentified ASV removal, we </w:t>
      </w:r>
      <w:r w:rsidRPr="00C76FD3">
        <w:rPr>
          <w:rFonts w:ascii="Times New Roman" w:hAnsi="Times New Roman" w:cs="Times New Roman"/>
        </w:rPr>
        <w:lastRenderedPageBreak/>
        <w:t>used a three-step screening process. First, ASVs were analyzed for contaminants using the R package, decontam (Davis et al. 2018). Second, we conducted a BLAST search using ITS2 Database (Ankenbrand et al. 2015) to verify taxa that were identified by singleton ASVs within our results. Finally, the remaining list of taxa was screened against a locally specific herbarium (Hermosilla and Agut 2025).</w:t>
      </w:r>
    </w:p>
    <w:p w14:paraId="7DC12812"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Statistical analysis</w:t>
      </w:r>
    </w:p>
    <w:p w14:paraId="762B2A0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We used iNEXT to quantify sampling completeness for our data using sample coverage (Hsieh et al. 2025). Coverage summaries were calculated at the observed sample size only, excluding extrapolated values.</w:t>
      </w:r>
    </w:p>
    <w:p w14:paraId="70F8598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As an initial broad test of whether the methodologies detected interactions with different plant communities, we used binary presence-absence matrices to compare the communities detected by each methodology for each sampling day. Data were aggregated by sampling day for all sets of observations. Community composition was contrasted using the Raup-Crick dissimilarity index in a PERMANOVA test within the R package, vegan (Oksanen et al. 2024), with methodology as the independent variable. Further pairwise comparisons of these data were made by subsetting the dissimilarity matrix used in the first test by each unique methodology pair and using multiple pairwise PERMANOVAs and beta dispersal for comparison.</w:t>
      </w:r>
    </w:p>
    <w:p w14:paraId="028FB484"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From the 126 </w:t>
      </w:r>
      <w:r w:rsidRPr="00C76FD3">
        <w:rPr>
          <w:rFonts w:ascii="Times New Roman" w:hAnsi="Times New Roman" w:cs="Times New Roman"/>
          <w:i/>
          <w:iCs/>
        </w:rPr>
        <w:t>B. pascuorum</w:t>
      </w:r>
      <w:r w:rsidRPr="00C76FD3">
        <w:rPr>
          <w:rFonts w:ascii="Times New Roman" w:hAnsi="Times New Roman" w:cs="Times New Roman"/>
        </w:rPr>
        <w:t xml:space="preserve"> specimens, we obtained both gut-content and pollen sequence data for 23 individuals. Using this subset of paired samples, we compared the plant communities detected by the two metabarcoding methodologies at the individual sample level without aggregation. PERMANOVA compared both methodologies’ detected communities in strata defined by specimen of sample origin.</w:t>
      </w:r>
    </w:p>
    <w:p w14:paraId="5E0CD40A"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lastRenderedPageBreak/>
        <w:t xml:space="preserve">We used interaction frequencies from the three methodologies to build individual </w:t>
      </w:r>
      <w:r w:rsidRPr="00C76FD3">
        <w:rPr>
          <w:rFonts w:ascii="Times New Roman" w:hAnsi="Times New Roman" w:cs="Times New Roman"/>
          <w:i/>
          <w:iCs/>
        </w:rPr>
        <w:t>B. pascuorum</w:t>
      </w:r>
      <w:r w:rsidRPr="00C76FD3">
        <w:rPr>
          <w:rFonts w:ascii="Times New Roman" w:hAnsi="Times New Roman" w:cs="Times New Roman"/>
        </w:rPr>
        <w:t xml:space="preserve">–plant interaction networks and calculate species-level metrics for plant importance and specialization. Plant importance was defined as the proportion of all </w:t>
      </w:r>
      <w:r w:rsidRPr="00C76FD3">
        <w:rPr>
          <w:rFonts w:ascii="Times New Roman" w:hAnsi="Times New Roman" w:cs="Times New Roman"/>
          <w:i/>
          <w:iCs/>
        </w:rPr>
        <w:t>B. pascuorum</w:t>
      </w:r>
      <w:r w:rsidRPr="00C76FD3">
        <w:rPr>
          <w:rFonts w:ascii="Times New Roman" w:hAnsi="Times New Roman" w:cs="Times New Roman"/>
        </w:rPr>
        <w:t xml:space="preserve"> interactions involving a given plant genus. For metabarcoding and pollen-load data, interactions were counted as the number of individual bee samples in which a plant genus was detected; for observational data, interactions corresponded to recorded visits. Species-level specialization (</w:t>
      </w:r>
      <w:r w:rsidRPr="00C76FD3">
        <w:rPr>
          <w:rFonts w:ascii="Times New Roman" w:hAnsi="Times New Roman" w:cs="Times New Roman"/>
          <w:i/>
          <w:iCs/>
        </w:rPr>
        <w:t>d’</w:t>
      </w:r>
      <w:r w:rsidRPr="00C76FD3">
        <w:rPr>
          <w:rFonts w:ascii="Times New Roman" w:hAnsi="Times New Roman" w:cs="Times New Roman"/>
        </w:rPr>
        <w:t>) was calculated following Blüthgen et al. (2006), as implemented in the R package bipartite (Dormann et al. 2009).</w:t>
      </w:r>
    </w:p>
    <w:p w14:paraId="2D2F644B"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Results</w:t>
      </w:r>
    </w:p>
    <w:p w14:paraId="0E2767DE"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Assessment of floral resource use relative to availability</w:t>
      </w:r>
    </w:p>
    <w:p w14:paraId="18C8623A"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Within our flower count surveys we registered a total of 117 flowering herbaceous plant genera across the sampling season, representing the pool of floral resources available to </w:t>
      </w:r>
      <w:r w:rsidRPr="00C76FD3">
        <w:rPr>
          <w:rFonts w:ascii="Times New Roman" w:hAnsi="Times New Roman" w:cs="Times New Roman"/>
          <w:i/>
          <w:iCs/>
        </w:rPr>
        <w:t>B. pascuorum</w:t>
      </w:r>
      <w:r w:rsidRPr="00C76FD3">
        <w:rPr>
          <w:rFonts w:ascii="Times New Roman" w:hAnsi="Times New Roman" w:cs="Times New Roman"/>
        </w:rPr>
        <w:t>, which interacted with only a subset of this diversity (Fig. 1A). In fact, 39 genera recorded in flower counts were absent from the interaction networks generated by any of the methodologies. Interaction transects revealed interactions with 27 genera (23% of total floral diversity), while gut-content and corbicular pollen metabarcoding revealed interactions with 58% and 53% of available taxa, respectively.</w:t>
      </w:r>
    </w:p>
    <w:p w14:paraId="5A6D15D9"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Comparison of interaction detection by methodology</w:t>
      </w:r>
      <w:r w:rsidRPr="00C76FD3">
        <w:rPr>
          <w:rFonts w:ascii="Times New Roman" w:hAnsi="Times New Roman" w:cs="Times New Roman"/>
        </w:rPr>
        <w:t> </w:t>
      </w:r>
    </w:p>
    <w:p w14:paraId="25EC0A5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Both metabarcoding methodologies detected multiple unique taxa (33 taxa for gut contents and 30 for corbicular pollen), while interaction transects did not detect any unique interactions (Fig. 1A). The two metabarcoding methodologies shared 83 common plant genera, representing 68% of the total corbicular pollen diversity and 63% of the gut content diversity.</w:t>
      </w:r>
    </w:p>
    <w:p w14:paraId="6B5468CA"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lastRenderedPageBreak/>
        <w:t>Taxonomic diversity varied across sampling periods, revealing distinct temporal patterns in flowering taxa and interactions (Fig. 1B). Although floral and interaction diversity increased overall from the first to the last period, flowering taxa peaked in period four, whereas interactions peaked in period six. Metabarcoding consistently detected more taxa than interaction transects, with gut-content metabarcoding outperforming all other methods. In periods one, two, and six—before and after peak flowering—gut-content metabarcoding detected 59% more taxa than were recorded in flower counts, while in periods three to five floral diversity exceeded gut-content diversity.</w:t>
      </w:r>
    </w:p>
    <w:p w14:paraId="20450366"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Functional diversity observations</w:t>
      </w:r>
    </w:p>
    <w:p w14:paraId="12A016D5"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The design of interaction transects only included taxa from the entomophilous community, while both metabarcoding methodologies detected taxa from the anemophilous community as well, representing 28% (N = 41) of the total identified plant genera between the two methodologies. Among these were 20 genera from </w:t>
      </w:r>
      <w:r w:rsidRPr="00C76FD3">
        <w:rPr>
          <w:rFonts w:ascii="Times New Roman" w:hAnsi="Times New Roman" w:cs="Times New Roman"/>
          <w:i/>
          <w:iCs/>
        </w:rPr>
        <w:t>Poaceae</w:t>
      </w:r>
      <w:r w:rsidRPr="00C76FD3">
        <w:rPr>
          <w:rFonts w:ascii="Times New Roman" w:hAnsi="Times New Roman" w:cs="Times New Roman"/>
        </w:rPr>
        <w:t>, nine tree or woody plant genera, and 12 other herbaceous genera (Appendix S2: Figure S3). During periods one, two, and six—when gut-content metabarcoding detected more taxa than the entomophilous community recorded in transects—an average of 13% of those taxa were anemophilous or partially anemophilous (Appendix S2: Figure S4).</w:t>
      </w:r>
    </w:p>
    <w:p w14:paraId="22989464"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Plant community composition across methodologies</w:t>
      </w:r>
    </w:p>
    <w:p w14:paraId="52817DD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PERMANOVA indicated a significant effect of methodology on the observed community (P &lt; 0.001, R</w:t>
      </w:r>
      <w:r w:rsidRPr="00C76FD3">
        <w:rPr>
          <w:rFonts w:ascii="Times New Roman" w:hAnsi="Times New Roman" w:cs="Times New Roman"/>
          <w:vertAlign w:val="superscript"/>
        </w:rPr>
        <w:t>2</w:t>
      </w:r>
      <w:r w:rsidRPr="00C76FD3">
        <w:rPr>
          <w:rFonts w:ascii="Times New Roman" w:hAnsi="Times New Roman" w:cs="Times New Roman"/>
        </w:rPr>
        <w:t xml:space="preserve"> = 0.28). In this analysis, interaction transects showed high beta-dispersal (distance to centroid = 0.62) compared to the more centered metabarcoding and flower count results (distance to centroid ≤ 0.10), and an ANOVA test of mean dispersal by methodology indicated different </w:t>
      </w:r>
      <w:r w:rsidRPr="00C76FD3">
        <w:rPr>
          <w:rFonts w:ascii="Times New Roman" w:hAnsi="Times New Roman" w:cs="Times New Roman"/>
        </w:rPr>
        <w:lastRenderedPageBreak/>
        <w:t>levels of dispersal (P &lt; 0.001) for each methodology. The communities detected by each of the methodologies were also visualized using non-metric Multidimensional Scaling (nMDS, stress = 0.17, Fig. 1C). Pairwise comparisons (Appendix S2: Table S1) showed that the plant communities detected by flower counts were different from those of all other methodologies (P &lt; 0.001, Holm-Bonferroni), although between pairs of interaction methodologies, no differences were observed. </w:t>
      </w:r>
    </w:p>
    <w:p w14:paraId="4CC5A62D"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Gut-content vs. pollen-derived plant communities from paired samples</w:t>
      </w:r>
    </w:p>
    <w:p w14:paraId="5584FCF7"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Comparing metabarcoding results from the same specimens, gut contents yielded fewer taxa (mean = 13 genera, sd = 9) than pollen samples (mean = 19 genera, sd = 7). On average, only 21% of taxa (mean = 7 genera, sd = 3) were shared between the two sample types. A PERMANOVA with specimen as a blocking factor indicated a difference in the plant community observed by both sample types (Appendix S2: Table S2) explaining 16% of the variation between gut- and pollen-based detections. Data used in this comparison were similarly dispersed (distance to centroid = 0.08), with no difference between the two groups observed by a permutest.</w:t>
      </w:r>
    </w:p>
    <w:p w14:paraId="69E969CB"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Species level interaction network</w:t>
      </w:r>
    </w:p>
    <w:p w14:paraId="3A8C7753"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We calculated interaction specialization of </w:t>
      </w:r>
      <w:r w:rsidRPr="00C76FD3">
        <w:rPr>
          <w:rFonts w:ascii="Times New Roman" w:hAnsi="Times New Roman" w:cs="Times New Roman"/>
          <w:i/>
          <w:iCs/>
        </w:rPr>
        <w:t>B. pascuorum</w:t>
      </w:r>
      <w:r w:rsidRPr="00C76FD3">
        <w:rPr>
          <w:rFonts w:ascii="Times New Roman" w:hAnsi="Times New Roman" w:cs="Times New Roman"/>
        </w:rPr>
        <w:t xml:space="preserve"> and an importance metric for the plant taxa within interaction networks. Specialization (</w:t>
      </w:r>
      <w:r w:rsidRPr="00C76FD3">
        <w:rPr>
          <w:rFonts w:ascii="Times New Roman" w:hAnsi="Times New Roman" w:cs="Times New Roman"/>
          <w:i/>
          <w:iCs/>
        </w:rPr>
        <w:t>d’</w:t>
      </w:r>
      <w:r w:rsidRPr="00C76FD3">
        <w:rPr>
          <w:rFonts w:ascii="Times New Roman" w:hAnsi="Times New Roman" w:cs="Times New Roman"/>
        </w:rPr>
        <w:t xml:space="preserve">) declined over the season for transect and pollen-metabarcoding data but remained relatively stable for gut-content metabarcoding (Fig. 2), with transects indicating complete specialization in the first period. Across all methods, </w:t>
      </w:r>
      <w:r w:rsidRPr="00C76FD3">
        <w:rPr>
          <w:rFonts w:ascii="Times New Roman" w:hAnsi="Times New Roman" w:cs="Times New Roman"/>
          <w:i/>
          <w:iCs/>
        </w:rPr>
        <w:t>Lotus</w:t>
      </w:r>
      <w:r w:rsidRPr="00C76FD3">
        <w:rPr>
          <w:rFonts w:ascii="Times New Roman" w:hAnsi="Times New Roman" w:cs="Times New Roman"/>
        </w:rPr>
        <w:t xml:space="preserve"> emerged as the most important plant genus, though the structure of importance differed. The </w:t>
      </w:r>
      <w:r w:rsidRPr="00C76FD3">
        <w:rPr>
          <w:rFonts w:ascii="Times New Roman" w:hAnsi="Times New Roman" w:cs="Times New Roman"/>
        </w:rPr>
        <w:lastRenderedPageBreak/>
        <w:t>transect network was dominated by a few top taxa (Fig. 3a), whereas the two metabarcoding networks showed more evenly distributed importance values (Fig. 3b-c).</w:t>
      </w:r>
    </w:p>
    <w:p w14:paraId="39CA782E"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Combined interaction network</w:t>
      </w:r>
    </w:p>
    <w:p w14:paraId="27714C1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We combined the results from each interaction methodology to create an interaction network for </w:t>
      </w:r>
      <w:r w:rsidRPr="00C76FD3">
        <w:rPr>
          <w:rFonts w:ascii="Times New Roman" w:hAnsi="Times New Roman" w:cs="Times New Roman"/>
          <w:i/>
          <w:iCs/>
        </w:rPr>
        <w:t>B. pascuorum</w:t>
      </w:r>
      <w:r w:rsidRPr="00C76FD3">
        <w:rPr>
          <w:rFonts w:ascii="Times New Roman" w:hAnsi="Times New Roman" w:cs="Times New Roman"/>
        </w:rPr>
        <w:t xml:space="preserve"> with links defined by interaction outcomes, including consumption, transport, and visitation (Fig. 4). This single species network included 171 nodes, increasing the number of taxa included in the network compared to individual methodology constructed networks. Additionally, each plant taxa received up to three links, including link metadata for interaction outcomes in the network. In total, the network contained 281 descriptive links.</w:t>
      </w:r>
    </w:p>
    <w:p w14:paraId="407FC30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Discussion</w:t>
      </w:r>
    </w:p>
    <w:p w14:paraId="0068B1E4"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Our results demonstrate that combining methodologies provides a more comprehensive and robustly validated characterization of plant–pollinator interactions. Although methodologies overlapped at the aggregate level, combining them increased the total number of plant taxa detected, and each provided distinct information about the nature of interactions. Notably, the two metabarcoding approaches revealed shared interactions with anemophilous and partially anemophilous plants for pollen consumption and transport.</w:t>
      </w:r>
    </w:p>
    <w:p w14:paraId="4B7D37F7"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We compared each methodology in terms of the diversity of detected interactions, assignment of relative importance of plant taxa and specialization of </w:t>
      </w:r>
      <w:r w:rsidRPr="00C76FD3">
        <w:rPr>
          <w:rFonts w:ascii="Times New Roman" w:hAnsi="Times New Roman" w:cs="Times New Roman"/>
          <w:i/>
          <w:iCs/>
        </w:rPr>
        <w:t>B. pascuorum</w:t>
      </w:r>
      <w:r w:rsidRPr="00C76FD3">
        <w:rPr>
          <w:rFonts w:ascii="Times New Roman" w:hAnsi="Times New Roman" w:cs="Times New Roman"/>
        </w:rPr>
        <w:t xml:space="preserve"> within the resulting network, and observed plant community composition. Consistent with previous comparisons between field and metabarcoding observation of plant-pollinator interactions, metabarcoding increased observed interaction diversity (Smart et al. 2017, Milla et al. 2022, Baksay et al. 2022), in our case by more than six-fold compared to interaction transect results. Considering this, and </w:t>
      </w:r>
      <w:r w:rsidRPr="00C76FD3">
        <w:rPr>
          <w:rFonts w:ascii="Times New Roman" w:hAnsi="Times New Roman" w:cs="Times New Roman"/>
        </w:rPr>
        <w:lastRenderedPageBreak/>
        <w:t>the time dedicated to data collection for both types of methodologies, metabarcoding was a more efficient approach. Interaction transects did provide the advantage of greater taxonomic resolution, as we were able to detect interactions at the species-species level, whereas metabarcoding provided species-genus level interactions. Beyond taxonomic detection capabilities, the results from each methodology allowed for network-level cross-validation. </w:t>
      </w:r>
    </w:p>
    <w:p w14:paraId="1DD8EB2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Network topology and specialization patterns differed markedly across methodologies. Interaction transects tended to overstate both the degree of specialization and the dominance of the most frequently visited plant taxa. Although </w:t>
      </w:r>
      <w:r w:rsidRPr="00C76FD3">
        <w:rPr>
          <w:rFonts w:ascii="Times New Roman" w:hAnsi="Times New Roman" w:cs="Times New Roman"/>
          <w:i/>
          <w:iCs/>
        </w:rPr>
        <w:t>B. pascuorum</w:t>
      </w:r>
      <w:r w:rsidRPr="00C76FD3">
        <w:rPr>
          <w:rFonts w:ascii="Times New Roman" w:hAnsi="Times New Roman" w:cs="Times New Roman"/>
        </w:rPr>
        <w:t xml:space="preserve"> is known to form strong early-season associations with certain plant species (Artamendi et al., in prep), the metabarcoding approaches indicated much lower specialization and produced more evenly distributed network structures. These results mirrored previous interaction networks constructed for individual pollinator species, which also have shown a tendency towards representing pollinators as specialists when using field observation data, in contrast to the generalist behavior indicated by metabarcoding data (Arstingstall et al. 2021). Overall, the combined datasets across methodologies suggested a more diverse foraging niche than visitation interactions alone would have implied.</w:t>
      </w:r>
    </w:p>
    <w:p w14:paraId="25C21907"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The three methodologies showed complementary patterns in network composition. Flower counts and interaction transects overlapped as expected from the study design, yet differed statistically, likely due to the much larger number of taxa detected by the former. No statistical differences were found among the three interaction-focused methods, although their dispersion differed, reflecting variation in spatial and taxonomic coverage. Interaction transects are shaped by local habitat and plant-community differences, whereas metabarcoding integrates interactions across the broader landscape, producing more consistent results. Metabarcoding approaches </w:t>
      </w:r>
      <w:r w:rsidRPr="00C76FD3">
        <w:rPr>
          <w:rFonts w:ascii="Times New Roman" w:hAnsi="Times New Roman" w:cs="Times New Roman"/>
        </w:rPr>
        <w:lastRenderedPageBreak/>
        <w:t>overlapped minimally with the floral community detected by flower counts, indicating that interaction networks include taxa not captured within transects. This is unsurprising given that flower counts reflect potential, not actual, interactions and are constrained by spatial and temporal limits that do not restrict metabarcoding.</w:t>
      </w:r>
    </w:p>
    <w:p w14:paraId="2246DD9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Between the two molecular approaches, gut-content metabarcoding captured greater overall taxonomic diversity and was more efficient, given that every specimen provided a gut sample, but not necessarily a pollen sample. Pollen samples detected more taxa per individual, however, and hypothetically offered an advantage as a non-lethal sampling option. The combination of both methodologies’ results broadened the interaction network greatly, and incorporated contextualized interaction links. These links showed which plant genera were consumed for adult bee nutrition, and which provided pollen for transport to the nest. In our case, gut-content metabarcoding was particularly informative for revealing seasonal foraging patterns, detecting more consumed taxa than were flowering in the early and late parts of the season, and showing relatively stable low specialization over time. This stability contradicted previous field observations, indicating higher specialization of the species, especially in the early flowering season (Artamendi et al., unpublished data). Together, these results indicated that the plant community represented in consumption-based interactions differs from the floral community captured by visitation- and transport-focused surveys.</w:t>
      </w:r>
    </w:p>
    <w:p w14:paraId="13AEA3C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The diversity of plant groups observed within our metabarcoding data, especially the temporal changes in diversity observed by gut-content metabarcoding, indicated that </w:t>
      </w:r>
      <w:r w:rsidRPr="00C76FD3">
        <w:rPr>
          <w:rFonts w:ascii="Times New Roman" w:hAnsi="Times New Roman" w:cs="Times New Roman"/>
          <w:i/>
          <w:iCs/>
        </w:rPr>
        <w:t>B. pascuorum</w:t>
      </w:r>
      <w:r w:rsidRPr="00C76FD3">
        <w:rPr>
          <w:rFonts w:ascii="Times New Roman" w:hAnsi="Times New Roman" w:cs="Times New Roman"/>
        </w:rPr>
        <w:t xml:space="preserve"> forages on different plant taxa than previously expected. Through metabarcoding, we observed interactions with a variety of taxa outside of the entomophilous meadow and shrubland plant community, including trees and shrubs, grasses, and other herbaceous plants. Our observations of </w:t>
      </w:r>
      <w:r w:rsidRPr="00C76FD3">
        <w:rPr>
          <w:rFonts w:ascii="Times New Roman" w:hAnsi="Times New Roman" w:cs="Times New Roman"/>
        </w:rPr>
        <w:lastRenderedPageBreak/>
        <w:t xml:space="preserve">anemophilous plant interactions are supported by previously documented records for </w:t>
      </w:r>
      <w:r w:rsidRPr="00C76FD3">
        <w:rPr>
          <w:rFonts w:ascii="Times New Roman" w:hAnsi="Times New Roman" w:cs="Times New Roman"/>
          <w:i/>
          <w:iCs/>
        </w:rPr>
        <w:t>Bombus</w:t>
      </w:r>
      <w:r w:rsidRPr="00C76FD3">
        <w:rPr>
          <w:rFonts w:ascii="Times New Roman" w:hAnsi="Times New Roman" w:cs="Times New Roman"/>
        </w:rPr>
        <w:t xml:space="preserve"> species (de Vere et al. 2017, Tanaka et al. 2020, Milla et al. 2022, Wood et al. 2022, Timberlake et al. 2024a, Selva et al. 2024, Ibiyemi et al. 2025), and have especially intriguing implications for bumblebee forage behavior. Previous studies using external pollen metabarcoding have excluded wind-pollinated taxa on the assumption that wind-borne pollen represents false positive interactions (Negri et al. 2015, Pornon et al. 2017, Tanaka et al. 2020). However, our gut-content results caution against automatically treating these taxa as contaminants, particularly when external pollen loads are used as standalone proxies for foraging networks.</w:t>
      </w:r>
    </w:p>
    <w:p w14:paraId="2DCCA656"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The presence of DNA from anemophilous taxa within gut samples suggests that interactions with these taxa may be more than coincidental interactions with pollen in the environment. Indeed, beyond consumption for adult nutrition, there are previous indications that pollen from flowering trees supports colony establishment success and low larval mortality (Wood et al. 2022). Our results support the hypothesis that most bumblebees forage selectively for consumption and transport of high-quality pollen (Ruedenauer et al. 2016, Timberlake et al. 2024a), adapting their forage to take advantage of the best available resources as they change with environmental variability (Selva et al. 2024). While it is possible that some plant material may be transported or consumed incidentally (Arstingstall et al. 2021), the taxa detected within </w:t>
      </w:r>
      <w:r w:rsidRPr="00C76FD3">
        <w:rPr>
          <w:rFonts w:ascii="Times New Roman" w:hAnsi="Times New Roman" w:cs="Times New Roman"/>
          <w:i/>
          <w:iCs/>
        </w:rPr>
        <w:t>B. pascuorum</w:t>
      </w:r>
      <w:r w:rsidRPr="00C76FD3">
        <w:rPr>
          <w:rFonts w:ascii="Times New Roman" w:hAnsi="Times New Roman" w:cs="Times New Roman"/>
        </w:rPr>
        <w:t xml:space="preserve"> gut contents and corbicular pollen form part of the web of biodiversity that supports the species and possibly other pollinators. Our detection of anemophilous plant DNA in both metabarcoding methodologies indicates that </w:t>
      </w:r>
      <w:r w:rsidRPr="00C76FD3">
        <w:rPr>
          <w:rFonts w:ascii="Times New Roman" w:hAnsi="Times New Roman" w:cs="Times New Roman"/>
          <w:i/>
          <w:iCs/>
        </w:rPr>
        <w:t>B. pascuorum,</w:t>
      </w:r>
      <w:r w:rsidRPr="00C76FD3">
        <w:rPr>
          <w:rFonts w:ascii="Times New Roman" w:hAnsi="Times New Roman" w:cs="Times New Roman"/>
        </w:rPr>
        <w:t xml:space="preserve"> and perhaps other bumblebee species, may intentionally forage on these taxa to meet nutritional needs at various life stages.</w:t>
      </w:r>
    </w:p>
    <w:p w14:paraId="1F1603D1"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Existing hypotheses for pollinator forage adaptations in response to environmental changes have suggested that bees expand forage diversity and search across habitats in order to survive annual </w:t>
      </w:r>
      <w:r w:rsidRPr="00C76FD3">
        <w:rPr>
          <w:rFonts w:ascii="Times New Roman" w:hAnsi="Times New Roman" w:cs="Times New Roman"/>
        </w:rPr>
        <w:lastRenderedPageBreak/>
        <w:t>“hunger gaps” (Becher et al. 2024, Timberlake et al. 2024b), when blooming floral species are limited (Morozumi et al. 2022, Wood et al. 2022). Our observation of high forage diversity in gut contents before and after the floral peak, distinct interaction and flowering taxa network topologies, and consumption of taxa across functional groups, all together support these hypotheses. While the floral community beyond the immediate area of our transects likely played a large role in these observations, the detection of anemophilous taxa in gut contents during the periods where forage diversity was higher than flowering diversity provides evidence for a community driven component as well. These observations show how the broader taxonomic detection capacity of metabarcoding allows for detection of interactions that otherwise would go unobserved by flower visitation surveys. This advantage is extended when working with metabarcoding data at the individual sample level, where greater resolution for interactions is obtainable.</w:t>
      </w:r>
    </w:p>
    <w:p w14:paraId="2A9D22D9"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Our comparative analyses understate the resolution of the metabarcoding derived data. We aggregated detections by sampling day to balance effort across methods, overlooking the individual-level detail that metabarcoding can provide. When we compared taxa detected from paired pollen and gut samples at the individual level, overlap was low, revealing a difference between sample sources that was not apparent in comparisons of aggregated data. This difference likely reflects the different roles of corbicular pollen and immediately consumed pollen in the nutrition needed for different life-cycle stages (Vaudo 2015). Taxa repeatedly detected by both methods increased confidence in their importance. For instance, the consistent appearance of </w:t>
      </w:r>
      <w:r w:rsidRPr="00C76FD3">
        <w:rPr>
          <w:rFonts w:ascii="Times New Roman" w:hAnsi="Times New Roman" w:cs="Times New Roman"/>
          <w:i/>
          <w:iCs/>
        </w:rPr>
        <w:t>Vicia</w:t>
      </w:r>
      <w:r w:rsidRPr="00C76FD3">
        <w:rPr>
          <w:rFonts w:ascii="Times New Roman" w:hAnsi="Times New Roman" w:cs="Times New Roman"/>
        </w:rPr>
        <w:t xml:space="preserve"> in both sample types early in the season supports field observations of a strong association between </w:t>
      </w:r>
      <w:r w:rsidRPr="00C76FD3">
        <w:rPr>
          <w:rFonts w:ascii="Times New Roman" w:hAnsi="Times New Roman" w:cs="Times New Roman"/>
          <w:i/>
          <w:iCs/>
        </w:rPr>
        <w:t>B. pascuorum</w:t>
      </w:r>
      <w:r w:rsidRPr="00C76FD3">
        <w:rPr>
          <w:rFonts w:ascii="Times New Roman" w:hAnsi="Times New Roman" w:cs="Times New Roman"/>
        </w:rPr>
        <w:t xml:space="preserve"> and </w:t>
      </w:r>
      <w:r w:rsidRPr="00C76FD3">
        <w:rPr>
          <w:rFonts w:ascii="Times New Roman" w:hAnsi="Times New Roman" w:cs="Times New Roman"/>
          <w:i/>
          <w:iCs/>
        </w:rPr>
        <w:t>Vicia</w:t>
      </w:r>
      <w:r w:rsidRPr="00C76FD3">
        <w:rPr>
          <w:rFonts w:ascii="Times New Roman" w:hAnsi="Times New Roman" w:cs="Times New Roman"/>
        </w:rPr>
        <w:t xml:space="preserve"> species (Artamendi et al., unpublished data), again underscoring the value of integrating field surveys with laboratory-based methods.</w:t>
      </w:r>
    </w:p>
    <w:p w14:paraId="694EA1F7"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lastRenderedPageBreak/>
        <w:t>Metabarcoding also has important limitations. Primer and marker biases result in preferential amplification of certain sequences, making some taxa more or less likely to appear in final results. We used the ITS2 region as a target for amplicon sequencing, while other marker genes provided competitive options for targeting plant taxa (Espinosa Prieto et al. 2024). Finally our reference database inevitably contains gaps in coverage of available sequences for matching our data to ASVs and taxa. In response to these limitations, we further suggest that combination with other interaction methodologies is likely to be the most effective way to overcome inherent methodological oversights.</w:t>
      </w:r>
    </w:p>
    <w:p w14:paraId="08A87758"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Conclusions</w:t>
      </w:r>
    </w:p>
    <w:p w14:paraId="41F7330D"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The consistency among methodologies indicates that each provides robust yet complementary perspectives on plant–pollinator interactions. Field observations offer direct evidence of visitation, pollination efficacy, and interaction frequency, and serve as an important validation of metabarcoding approaches, despite lower sampling efficiency. Corbicular pollen metabarcoding identifies plants providing resources for transport to nests, offering insight into larval nutrition, while gut-content metabarcoding reveals the taxa actually consumed by foraging pollinators, providing a unique view of nutritional resources and potential pathways for microbiota and pathogen transmission.</w:t>
      </w:r>
    </w:p>
    <w:p w14:paraId="436E4985"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Although each methodology has inherent strengths and limitations in sensitivity, sampling effort, and ecological interpretation, their integration provides a more complete understanding of pollinator resource use. Gut-content metabarcoding is a particularly promising addition, especially when combined with established approaches. Future advances will depend on improving the quantification of interaction frequencies and integrating complementary methodologies to overcome the limitations of any single approach.</w:t>
      </w:r>
    </w:p>
    <w:p w14:paraId="79075E5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lastRenderedPageBreak/>
        <w:t>Acknowledgements:</w:t>
      </w:r>
      <w:r w:rsidRPr="00C76FD3">
        <w:rPr>
          <w:rFonts w:ascii="Times New Roman" w:hAnsi="Times New Roman" w:cs="Times New Roman"/>
        </w:rPr>
        <w:t xml:space="preserve"> The authors acknowledge Bizkaiko foru aldundia, for permitting the fieldwork in this study (Reference: 2023AM36). AM acknowledges funding from the Ministry of Science, Innovation and Universities (PID2021-127900NB-I00), the Basque Government (PIBA 2024RTE00060004), the European Union (ERC, GorBEEa 101086771), an Ikerbasque Research Professorship, and the Ramón y Cajal Program (RYC2021-032351-I), funded by the Spanish Ministry of Science and Innovation and the European Social Fund. The views expressed are those of the author(s) and do not necessarily reflect those of the European Union or the European Research Council, which cannot be held responsible for them. This research was also supported by the María de Maeztu Excellence Unit 2023–2027 (CEX2021-001201-M), funded by MCIN/AEI/10.13039/501100011033.</w:t>
      </w:r>
    </w:p>
    <w:p w14:paraId="2ABA0B97"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Conflict of Interest:</w:t>
      </w:r>
      <w:r w:rsidRPr="00C76FD3">
        <w:rPr>
          <w:rFonts w:ascii="Times New Roman" w:hAnsi="Times New Roman" w:cs="Times New Roman"/>
        </w:rPr>
        <w:t xml:space="preserve"> The authors declare no conflicts of interest.</w:t>
      </w:r>
    </w:p>
    <w:p w14:paraId="3E5B6251" w14:textId="77777777" w:rsidR="00BB367E" w:rsidRPr="00C76FD3" w:rsidRDefault="00C76FD3" w:rsidP="00C76FD3">
      <w:pPr>
        <w:pStyle w:val="Heading2"/>
        <w:spacing w:line="480" w:lineRule="auto"/>
        <w:rPr>
          <w:rFonts w:ascii="Times New Roman" w:hAnsi="Times New Roman" w:cs="Times New Roman"/>
          <w:color w:val="auto"/>
          <w:sz w:val="24"/>
          <w:szCs w:val="24"/>
        </w:rPr>
      </w:pPr>
      <w:bookmarkStart w:id="0" w:name="references"/>
      <w:r w:rsidRPr="00C76FD3">
        <w:rPr>
          <w:rFonts w:ascii="Times New Roman" w:hAnsi="Times New Roman" w:cs="Times New Roman"/>
          <w:b/>
          <w:bCs/>
          <w:color w:val="auto"/>
          <w:sz w:val="24"/>
          <w:szCs w:val="24"/>
        </w:rPr>
        <w:t>References</w:t>
      </w:r>
    </w:p>
    <w:p w14:paraId="52D79BAF" w14:textId="77777777" w:rsidR="00BB367E" w:rsidRPr="00C76FD3" w:rsidRDefault="00C76FD3" w:rsidP="00C76FD3">
      <w:pPr>
        <w:pStyle w:val="Bibliography"/>
        <w:spacing w:line="480" w:lineRule="auto"/>
        <w:rPr>
          <w:rFonts w:ascii="Times New Roman" w:hAnsi="Times New Roman" w:cs="Times New Roman"/>
        </w:rPr>
      </w:pPr>
      <w:bookmarkStart w:id="1" w:name="ref-ankenbrand2015"/>
      <w:bookmarkStart w:id="2" w:name="refs"/>
      <w:r w:rsidRPr="00C76FD3">
        <w:rPr>
          <w:rFonts w:ascii="Times New Roman" w:hAnsi="Times New Roman" w:cs="Times New Roman"/>
        </w:rPr>
        <w:t xml:space="preserve">Ankenbrand, M. J., A. Keller, M. Wolf, J. Schultz, and F. Förster. 2015. </w:t>
      </w:r>
      <w:hyperlink r:id="rId8">
        <w:r w:rsidRPr="00C76FD3">
          <w:rPr>
            <w:rStyle w:val="Hyperlink"/>
            <w:rFonts w:ascii="Times New Roman" w:hAnsi="Times New Roman" w:cs="Times New Roman"/>
          </w:rPr>
          <w:t>ITS2 Database V: Twice as Much: Table 1.</w:t>
        </w:r>
      </w:hyperlink>
      <w:r w:rsidRPr="00C76FD3">
        <w:rPr>
          <w:rFonts w:ascii="Times New Roman" w:hAnsi="Times New Roman" w:cs="Times New Roman"/>
        </w:rPr>
        <w:t xml:space="preserve"> Molecular Biology and Evolution 32:3030–3032.</w:t>
      </w:r>
    </w:p>
    <w:p w14:paraId="347C75BF" w14:textId="77777777" w:rsidR="00BB367E" w:rsidRPr="00C76FD3" w:rsidRDefault="00C76FD3" w:rsidP="00C76FD3">
      <w:pPr>
        <w:pStyle w:val="Bibliography"/>
        <w:spacing w:line="480" w:lineRule="auto"/>
        <w:rPr>
          <w:rFonts w:ascii="Times New Roman" w:hAnsi="Times New Roman" w:cs="Times New Roman"/>
        </w:rPr>
      </w:pPr>
      <w:bookmarkStart w:id="3" w:name="ref-arstingstall2021"/>
      <w:bookmarkEnd w:id="1"/>
      <w:r w:rsidRPr="00C76FD3">
        <w:rPr>
          <w:rFonts w:ascii="Times New Roman" w:hAnsi="Times New Roman" w:cs="Times New Roman"/>
        </w:rPr>
        <w:t xml:space="preserve">Arstingstall, K. A., S. J. DeBano, X. Li, D. E. Wooster, M. M. Rowland, S. Burrows, and K. Frost. 2021. </w:t>
      </w:r>
      <w:hyperlink r:id="rId9">
        <w:r w:rsidRPr="00C76FD3">
          <w:rPr>
            <w:rStyle w:val="Hyperlink"/>
            <w:rFonts w:ascii="Times New Roman" w:hAnsi="Times New Roman" w:cs="Times New Roman"/>
          </w:rPr>
          <w:t>Capabilities and limitations of using DNA metabarcoding to study plantpollinator interactions</w:t>
        </w:r>
      </w:hyperlink>
      <w:r w:rsidRPr="00C76FD3">
        <w:rPr>
          <w:rFonts w:ascii="Times New Roman" w:hAnsi="Times New Roman" w:cs="Times New Roman"/>
        </w:rPr>
        <w:t>. Molecular Ecology 30:5266–5297.</w:t>
      </w:r>
    </w:p>
    <w:p w14:paraId="25BDECD1" w14:textId="77777777" w:rsidR="00BB367E" w:rsidRPr="00C76FD3" w:rsidRDefault="00C76FD3" w:rsidP="00C76FD3">
      <w:pPr>
        <w:pStyle w:val="Bibliography"/>
        <w:spacing w:line="480" w:lineRule="auto"/>
        <w:rPr>
          <w:rFonts w:ascii="Times New Roman" w:hAnsi="Times New Roman" w:cs="Times New Roman"/>
        </w:rPr>
      </w:pPr>
      <w:bookmarkStart w:id="4" w:name="ref-artamendi2025"/>
      <w:bookmarkEnd w:id="3"/>
      <w:r w:rsidRPr="00C76FD3">
        <w:rPr>
          <w:rFonts w:ascii="Times New Roman" w:hAnsi="Times New Roman" w:cs="Times New Roman"/>
        </w:rPr>
        <w:t xml:space="preserve">Artamendi, M., P. A. Martin, I. Bartomeus, and A. Magrach. 2025. </w:t>
      </w:r>
      <w:hyperlink r:id="rId10">
        <w:r w:rsidRPr="00C76FD3">
          <w:rPr>
            <w:rStyle w:val="Hyperlink"/>
            <w:rFonts w:ascii="Times New Roman" w:hAnsi="Times New Roman" w:cs="Times New Roman"/>
          </w:rPr>
          <w:t>Loss of pollinator diversity consistently reduces reproductive success for wild and cultivated plants</w:t>
        </w:r>
      </w:hyperlink>
      <w:r w:rsidRPr="00C76FD3">
        <w:rPr>
          <w:rFonts w:ascii="Times New Roman" w:hAnsi="Times New Roman" w:cs="Times New Roman"/>
        </w:rPr>
        <w:t>. Nature Ecology &amp; Evolution 9:296–313.</w:t>
      </w:r>
    </w:p>
    <w:p w14:paraId="0232CBE5" w14:textId="77777777" w:rsidR="00BB367E" w:rsidRPr="00C76FD3" w:rsidRDefault="00C76FD3" w:rsidP="00C76FD3">
      <w:pPr>
        <w:pStyle w:val="Bibliography"/>
        <w:spacing w:line="480" w:lineRule="auto"/>
        <w:rPr>
          <w:rFonts w:ascii="Times New Roman" w:hAnsi="Times New Roman" w:cs="Times New Roman"/>
        </w:rPr>
      </w:pPr>
      <w:bookmarkStart w:id="5" w:name="ref-baksay2022"/>
      <w:bookmarkEnd w:id="4"/>
      <w:r w:rsidRPr="00C76FD3">
        <w:rPr>
          <w:rFonts w:ascii="Times New Roman" w:hAnsi="Times New Roman" w:cs="Times New Roman"/>
        </w:rPr>
        <w:lastRenderedPageBreak/>
        <w:t xml:space="preserve">Baksay, S., C. Andalo, D. Galop, M. Burrus, N. Escaravage, and A. Pornon. 2022. </w:t>
      </w:r>
      <w:hyperlink r:id="rId11">
        <w:r w:rsidRPr="00C76FD3">
          <w:rPr>
            <w:rStyle w:val="Hyperlink"/>
            <w:rFonts w:ascii="Times New Roman" w:hAnsi="Times New Roman" w:cs="Times New Roman"/>
          </w:rPr>
          <w:t>Using metabarcoding to investigate the strength of plant-pollinator interactions from surveys of visits to DNA sequences</w:t>
        </w:r>
      </w:hyperlink>
      <w:r w:rsidRPr="00C76FD3">
        <w:rPr>
          <w:rFonts w:ascii="Times New Roman" w:hAnsi="Times New Roman" w:cs="Times New Roman"/>
        </w:rPr>
        <w:t>. Frontiers in Ecology and Evolution 10.</w:t>
      </w:r>
    </w:p>
    <w:p w14:paraId="71C4CBFB" w14:textId="77777777" w:rsidR="00BB367E" w:rsidRPr="00C76FD3" w:rsidRDefault="00C76FD3" w:rsidP="00C76FD3">
      <w:pPr>
        <w:pStyle w:val="Bibliography"/>
        <w:spacing w:line="480" w:lineRule="auto"/>
        <w:rPr>
          <w:rFonts w:ascii="Times New Roman" w:hAnsi="Times New Roman" w:cs="Times New Roman"/>
        </w:rPr>
      </w:pPr>
      <w:bookmarkStart w:id="6" w:name="ref-becher2024"/>
      <w:bookmarkEnd w:id="5"/>
      <w:r w:rsidRPr="00C76FD3">
        <w:rPr>
          <w:rFonts w:ascii="Times New Roman" w:hAnsi="Times New Roman" w:cs="Times New Roman"/>
        </w:rPr>
        <w:t xml:space="preserve">Becher, M. A., G. Twiston-Davies, J. L. Osborne, and T. A. Lander. 2024. </w:t>
      </w:r>
      <w:hyperlink r:id="rId12">
        <w:r w:rsidRPr="00C76FD3">
          <w:rPr>
            <w:rStyle w:val="Hyperlink"/>
            <w:rFonts w:ascii="Times New Roman" w:hAnsi="Times New Roman" w:cs="Times New Roman"/>
          </w:rPr>
          <w:t>Resource gaps pose the greatest threat for bumblebees during the colony establishment phase</w:t>
        </w:r>
      </w:hyperlink>
      <w:r w:rsidRPr="00C76FD3">
        <w:rPr>
          <w:rFonts w:ascii="Times New Roman" w:hAnsi="Times New Roman" w:cs="Times New Roman"/>
        </w:rPr>
        <w:t>. Insect Conservation and Diversity 17:676–689.</w:t>
      </w:r>
    </w:p>
    <w:p w14:paraId="25D25A71" w14:textId="77777777" w:rsidR="00BB367E" w:rsidRPr="00C76FD3" w:rsidRDefault="00C76FD3" w:rsidP="00C76FD3">
      <w:pPr>
        <w:pStyle w:val="Bibliography"/>
        <w:spacing w:line="480" w:lineRule="auto"/>
        <w:rPr>
          <w:rFonts w:ascii="Times New Roman" w:hAnsi="Times New Roman" w:cs="Times New Roman"/>
        </w:rPr>
      </w:pPr>
      <w:bookmarkStart w:id="7" w:name="ref-bell2021"/>
      <w:bookmarkEnd w:id="6"/>
      <w:r w:rsidRPr="00C76FD3">
        <w:rPr>
          <w:rFonts w:ascii="Times New Roman" w:hAnsi="Times New Roman" w:cs="Times New Roman"/>
        </w:rPr>
        <w:t xml:space="preserve">Bell, K. 2021. </w:t>
      </w:r>
      <w:hyperlink r:id="rId13">
        <w:r w:rsidRPr="00C76FD3">
          <w:rPr>
            <w:rStyle w:val="Hyperlink"/>
            <w:rFonts w:ascii="Times New Roman" w:hAnsi="Times New Roman" w:cs="Times New Roman"/>
          </w:rPr>
          <w:t>ITS2 july 2021</w:t>
        </w:r>
      </w:hyperlink>
      <w:r w:rsidRPr="00C76FD3">
        <w:rPr>
          <w:rFonts w:ascii="Times New Roman" w:hAnsi="Times New Roman" w:cs="Times New Roman"/>
        </w:rPr>
        <w:t>. figshare.</w:t>
      </w:r>
    </w:p>
    <w:p w14:paraId="11E46E01" w14:textId="77777777" w:rsidR="00BB367E" w:rsidRPr="00C76FD3" w:rsidRDefault="00C76FD3" w:rsidP="00C76FD3">
      <w:pPr>
        <w:pStyle w:val="Bibliography"/>
        <w:spacing w:line="480" w:lineRule="auto"/>
        <w:rPr>
          <w:rFonts w:ascii="Times New Roman" w:hAnsi="Times New Roman" w:cs="Times New Roman"/>
        </w:rPr>
      </w:pPr>
      <w:bookmarkStart w:id="8" w:name="ref-bell2016"/>
      <w:bookmarkEnd w:id="7"/>
      <w:r w:rsidRPr="00C76FD3">
        <w:rPr>
          <w:rFonts w:ascii="Times New Roman" w:hAnsi="Times New Roman" w:cs="Times New Roman"/>
        </w:rPr>
        <w:t xml:space="preserve">Bell, K., N. de Vere, A. Keller, R. T. Richardson, A. Gous, K. S. Burgess, and B. J. Brosi. 2016. </w:t>
      </w:r>
      <w:hyperlink r:id="rId14">
        <w:r w:rsidRPr="00C76FD3">
          <w:rPr>
            <w:rStyle w:val="Hyperlink"/>
            <w:rFonts w:ascii="Times New Roman" w:hAnsi="Times New Roman" w:cs="Times New Roman"/>
          </w:rPr>
          <w:t>Pollen DNA barcoding: Current applications and future prospects</w:t>
        </w:r>
      </w:hyperlink>
      <w:r w:rsidRPr="00C76FD3">
        <w:rPr>
          <w:rFonts w:ascii="Times New Roman" w:hAnsi="Times New Roman" w:cs="Times New Roman"/>
        </w:rPr>
        <w:t>. Genome 59:629–640.</w:t>
      </w:r>
    </w:p>
    <w:p w14:paraId="035CE4BF" w14:textId="77777777" w:rsidR="00BB367E" w:rsidRPr="00C76FD3" w:rsidRDefault="00C76FD3" w:rsidP="00C76FD3">
      <w:pPr>
        <w:pStyle w:val="Bibliography"/>
        <w:spacing w:line="480" w:lineRule="auto"/>
        <w:rPr>
          <w:rFonts w:ascii="Times New Roman" w:hAnsi="Times New Roman" w:cs="Times New Roman"/>
          <w:lang w:val="es-ES"/>
        </w:rPr>
      </w:pPr>
      <w:bookmarkStart w:id="9" w:name="ref-blüthgen2006"/>
      <w:bookmarkEnd w:id="8"/>
      <w:r w:rsidRPr="00C76FD3">
        <w:rPr>
          <w:rFonts w:ascii="Times New Roman" w:hAnsi="Times New Roman" w:cs="Times New Roman"/>
        </w:rPr>
        <w:t xml:space="preserve">Blüthgen, N., F. Menzel, and N. Blüthgen. 2006. </w:t>
      </w:r>
      <w:hyperlink r:id="rId15">
        <w:r w:rsidRPr="00C76FD3">
          <w:rPr>
            <w:rStyle w:val="Hyperlink"/>
            <w:rFonts w:ascii="Times New Roman" w:hAnsi="Times New Roman" w:cs="Times New Roman"/>
          </w:rPr>
          <w:t>Measuring specialization in species interaction networks</w:t>
        </w:r>
      </w:hyperlink>
      <w:r w:rsidRPr="00C76FD3">
        <w:rPr>
          <w:rFonts w:ascii="Times New Roman" w:hAnsi="Times New Roman" w:cs="Times New Roman"/>
        </w:rPr>
        <w:t xml:space="preserve">. </w:t>
      </w:r>
      <w:r w:rsidRPr="00C76FD3">
        <w:rPr>
          <w:rFonts w:ascii="Times New Roman" w:hAnsi="Times New Roman" w:cs="Times New Roman"/>
          <w:lang w:val="es-ES"/>
        </w:rPr>
        <w:t>BMC Ecology 6:9.</w:t>
      </w:r>
    </w:p>
    <w:p w14:paraId="1DC038B3" w14:textId="77777777" w:rsidR="00BB367E" w:rsidRPr="00C76FD3" w:rsidRDefault="00C76FD3" w:rsidP="00C76FD3">
      <w:pPr>
        <w:pStyle w:val="Bibliography"/>
        <w:spacing w:line="480" w:lineRule="auto"/>
        <w:rPr>
          <w:rFonts w:ascii="Times New Roman" w:hAnsi="Times New Roman" w:cs="Times New Roman"/>
        </w:rPr>
      </w:pPr>
      <w:bookmarkStart w:id="10" w:name="ref-bosch2009"/>
      <w:bookmarkEnd w:id="9"/>
      <w:r w:rsidRPr="00C76FD3">
        <w:rPr>
          <w:rFonts w:ascii="Times New Roman" w:hAnsi="Times New Roman" w:cs="Times New Roman"/>
          <w:lang w:val="es-ES"/>
        </w:rPr>
        <w:t xml:space="preserve">Bosch, J., A. M. Martín González, A. Rodrigo, and D. Navarro. </w:t>
      </w:r>
      <w:r w:rsidRPr="00C76FD3">
        <w:rPr>
          <w:rFonts w:ascii="Times New Roman" w:hAnsi="Times New Roman" w:cs="Times New Roman"/>
        </w:rPr>
        <w:t xml:space="preserve">2009. </w:t>
      </w:r>
      <w:hyperlink r:id="rId16">
        <w:r w:rsidRPr="00C76FD3">
          <w:rPr>
            <w:rStyle w:val="Hyperlink"/>
            <w:rFonts w:ascii="Times New Roman" w:hAnsi="Times New Roman" w:cs="Times New Roman"/>
          </w:rPr>
          <w:t>Plant-pollinator networks: adding the pollinator’s perspective</w:t>
        </w:r>
      </w:hyperlink>
      <w:r w:rsidRPr="00C76FD3">
        <w:rPr>
          <w:rFonts w:ascii="Times New Roman" w:hAnsi="Times New Roman" w:cs="Times New Roman"/>
        </w:rPr>
        <w:t>. Ecology Letters 12:409–419.</w:t>
      </w:r>
    </w:p>
    <w:p w14:paraId="724BDF2D" w14:textId="77777777" w:rsidR="00BB367E" w:rsidRPr="00C76FD3" w:rsidRDefault="00C76FD3" w:rsidP="00C76FD3">
      <w:pPr>
        <w:pStyle w:val="Bibliography"/>
        <w:spacing w:line="480" w:lineRule="auto"/>
        <w:rPr>
          <w:rFonts w:ascii="Times New Roman" w:hAnsi="Times New Roman" w:cs="Times New Roman"/>
        </w:rPr>
      </w:pPr>
      <w:bookmarkStart w:id="11" w:name="ref-burkle2011"/>
      <w:bookmarkEnd w:id="10"/>
      <w:r w:rsidRPr="00C76FD3">
        <w:rPr>
          <w:rFonts w:ascii="Times New Roman" w:hAnsi="Times New Roman" w:cs="Times New Roman"/>
        </w:rPr>
        <w:t xml:space="preserve">Burkle, L. A., and R. Alarcón. 2011. </w:t>
      </w:r>
      <w:hyperlink r:id="rId17">
        <w:r w:rsidRPr="00C76FD3">
          <w:rPr>
            <w:rStyle w:val="Hyperlink"/>
            <w:rFonts w:ascii="Times New Roman" w:hAnsi="Times New Roman" w:cs="Times New Roman"/>
          </w:rPr>
          <w:t>The future of plant-pollinator diversity: Understanding interaction networks across time, space, and global change</w:t>
        </w:r>
      </w:hyperlink>
      <w:r w:rsidRPr="00C76FD3">
        <w:rPr>
          <w:rFonts w:ascii="Times New Roman" w:hAnsi="Times New Roman" w:cs="Times New Roman"/>
        </w:rPr>
        <w:t>. American Journal of Botany 98:528–538.</w:t>
      </w:r>
    </w:p>
    <w:p w14:paraId="63BDAB5F" w14:textId="77777777" w:rsidR="00BB367E" w:rsidRPr="00C76FD3" w:rsidRDefault="00C76FD3" w:rsidP="00C76FD3">
      <w:pPr>
        <w:pStyle w:val="Bibliography"/>
        <w:spacing w:line="480" w:lineRule="auto"/>
        <w:rPr>
          <w:rFonts w:ascii="Times New Roman" w:hAnsi="Times New Roman" w:cs="Times New Roman"/>
        </w:rPr>
      </w:pPr>
      <w:bookmarkStart w:id="12" w:name="ref-callahan2016"/>
      <w:bookmarkEnd w:id="11"/>
      <w:r w:rsidRPr="00C76FD3">
        <w:rPr>
          <w:rFonts w:ascii="Times New Roman" w:hAnsi="Times New Roman" w:cs="Times New Roman"/>
        </w:rPr>
        <w:t xml:space="preserve">Callahan, B. J., P. J. McMurdie, M. J. Rosen, A. W. Han, A. J. A. Johnson, and S. P. Holmes. 2016. </w:t>
      </w:r>
      <w:hyperlink r:id="rId18">
        <w:r w:rsidRPr="00C76FD3">
          <w:rPr>
            <w:rStyle w:val="Hyperlink"/>
            <w:rFonts w:ascii="Times New Roman" w:hAnsi="Times New Roman" w:cs="Times New Roman"/>
          </w:rPr>
          <w:t>DADA2: High resolution sample inference from illumina amplicon data</w:t>
        </w:r>
      </w:hyperlink>
      <w:r w:rsidRPr="00C76FD3">
        <w:rPr>
          <w:rFonts w:ascii="Times New Roman" w:hAnsi="Times New Roman" w:cs="Times New Roman"/>
        </w:rPr>
        <w:t>. Nature methods 13:581–583.</w:t>
      </w:r>
    </w:p>
    <w:p w14:paraId="7E64363F" w14:textId="77777777" w:rsidR="00BB367E" w:rsidRPr="00C76FD3" w:rsidRDefault="00C76FD3" w:rsidP="00C76FD3">
      <w:pPr>
        <w:pStyle w:val="Bibliography"/>
        <w:spacing w:line="480" w:lineRule="auto"/>
        <w:rPr>
          <w:rFonts w:ascii="Times New Roman" w:hAnsi="Times New Roman" w:cs="Times New Roman"/>
        </w:rPr>
      </w:pPr>
      <w:bookmarkStart w:id="13" w:name="ref-chen2010"/>
      <w:bookmarkEnd w:id="12"/>
      <w:r w:rsidRPr="00C76FD3">
        <w:rPr>
          <w:rFonts w:ascii="Times New Roman" w:hAnsi="Times New Roman" w:cs="Times New Roman"/>
        </w:rPr>
        <w:t xml:space="preserve">Chen, S., H. Yao, J. Han, C. Liu, J. Song, L. Shi, and Y. Zhu et al. 2010. </w:t>
      </w:r>
      <w:hyperlink r:id="rId19">
        <w:r w:rsidRPr="00C76FD3">
          <w:rPr>
            <w:rStyle w:val="Hyperlink"/>
            <w:rFonts w:ascii="Times New Roman" w:hAnsi="Times New Roman" w:cs="Times New Roman"/>
          </w:rPr>
          <w:t>Validation of the ITS2 Region as a Novel DNA Barcode for Identifying Medicinal Plant Species</w:t>
        </w:r>
      </w:hyperlink>
      <w:r w:rsidRPr="00C76FD3">
        <w:rPr>
          <w:rFonts w:ascii="Times New Roman" w:hAnsi="Times New Roman" w:cs="Times New Roman"/>
        </w:rPr>
        <w:t>. PLOS ONE 5:e8613.</w:t>
      </w:r>
    </w:p>
    <w:p w14:paraId="65820DD0" w14:textId="77777777" w:rsidR="00BB367E" w:rsidRPr="00C76FD3" w:rsidRDefault="00C76FD3" w:rsidP="00C76FD3">
      <w:pPr>
        <w:pStyle w:val="Bibliography"/>
        <w:spacing w:line="480" w:lineRule="auto"/>
        <w:rPr>
          <w:rFonts w:ascii="Times New Roman" w:hAnsi="Times New Roman" w:cs="Times New Roman"/>
        </w:rPr>
      </w:pPr>
      <w:bookmarkStart w:id="14" w:name="ref-davis2018"/>
      <w:bookmarkEnd w:id="13"/>
      <w:r w:rsidRPr="00C76FD3">
        <w:rPr>
          <w:rFonts w:ascii="Times New Roman" w:hAnsi="Times New Roman" w:cs="Times New Roman"/>
        </w:rPr>
        <w:lastRenderedPageBreak/>
        <w:t xml:space="preserve">Davis, N. M., D. M. Proctor, S. P. Holmes, D. A. Relman, and B. J. Callahan. 2018. </w:t>
      </w:r>
      <w:hyperlink r:id="rId20">
        <w:r w:rsidRPr="00C76FD3">
          <w:rPr>
            <w:rStyle w:val="Hyperlink"/>
            <w:rFonts w:ascii="Times New Roman" w:hAnsi="Times New Roman" w:cs="Times New Roman"/>
          </w:rPr>
          <w:t>Simple statistical identification and removal of contaminant sequences in marker-gene and metagenomics data</w:t>
        </w:r>
      </w:hyperlink>
      <w:r w:rsidRPr="00C76FD3">
        <w:rPr>
          <w:rFonts w:ascii="Times New Roman" w:hAnsi="Times New Roman" w:cs="Times New Roman"/>
        </w:rPr>
        <w:t>. Microbiome 6:226.</w:t>
      </w:r>
    </w:p>
    <w:p w14:paraId="4958D960" w14:textId="77777777" w:rsidR="00BB367E" w:rsidRPr="00C76FD3" w:rsidRDefault="00C76FD3" w:rsidP="00C76FD3">
      <w:pPr>
        <w:pStyle w:val="Bibliography"/>
        <w:spacing w:line="480" w:lineRule="auto"/>
        <w:rPr>
          <w:rFonts w:ascii="Times New Roman" w:hAnsi="Times New Roman" w:cs="Times New Roman"/>
        </w:rPr>
      </w:pPr>
      <w:bookmarkStart w:id="15" w:name="ref-devere2017"/>
      <w:bookmarkEnd w:id="14"/>
      <w:r w:rsidRPr="00C76FD3">
        <w:rPr>
          <w:rFonts w:ascii="Times New Roman" w:hAnsi="Times New Roman" w:cs="Times New Roman"/>
        </w:rPr>
        <w:t xml:space="preserve">de Vere, N., L. E. Jones, T. Gilmore, J. Moscrop, A. Lowe, D. Smith, M. J. Hegarty, S. Creer, and C. R. Ford. 2017. </w:t>
      </w:r>
      <w:hyperlink r:id="rId21">
        <w:r w:rsidRPr="00C76FD3">
          <w:rPr>
            <w:rStyle w:val="Hyperlink"/>
            <w:rFonts w:ascii="Times New Roman" w:hAnsi="Times New Roman" w:cs="Times New Roman"/>
          </w:rPr>
          <w:t>Using DNA metabarcoding to investigate honey bee foraging reveals limited flower use despite high floral availability</w:t>
        </w:r>
      </w:hyperlink>
      <w:r w:rsidRPr="00C76FD3">
        <w:rPr>
          <w:rFonts w:ascii="Times New Roman" w:hAnsi="Times New Roman" w:cs="Times New Roman"/>
        </w:rPr>
        <w:t>. Scientific Reports 7:42838.</w:t>
      </w:r>
    </w:p>
    <w:p w14:paraId="70981888" w14:textId="77777777" w:rsidR="00BB367E" w:rsidRPr="00C76FD3" w:rsidRDefault="00C76FD3" w:rsidP="00C76FD3">
      <w:pPr>
        <w:pStyle w:val="Bibliography"/>
        <w:spacing w:line="480" w:lineRule="auto"/>
        <w:rPr>
          <w:rFonts w:ascii="Times New Roman" w:hAnsi="Times New Roman" w:cs="Times New Roman"/>
        </w:rPr>
      </w:pPr>
      <w:bookmarkStart w:id="16" w:name="ref-devriese2024"/>
      <w:bookmarkEnd w:id="15"/>
      <w:r w:rsidRPr="00C76FD3">
        <w:rPr>
          <w:rFonts w:ascii="Times New Roman" w:hAnsi="Times New Roman" w:cs="Times New Roman"/>
        </w:rPr>
        <w:t xml:space="preserve">Devriese, A., G. Peeters, R. Brys, and H. Jacquemyn. 2024. </w:t>
      </w:r>
      <w:hyperlink r:id="rId22">
        <w:r w:rsidRPr="00C76FD3">
          <w:rPr>
            <w:rStyle w:val="Hyperlink"/>
            <w:rFonts w:ascii="Times New Roman" w:hAnsi="Times New Roman" w:cs="Times New Roman"/>
          </w:rPr>
          <w:t>The impact of extraction method and pollen concentration on community composition for pollen metabarcoding</w:t>
        </w:r>
      </w:hyperlink>
      <w:r w:rsidRPr="00C76FD3">
        <w:rPr>
          <w:rFonts w:ascii="Times New Roman" w:hAnsi="Times New Roman" w:cs="Times New Roman"/>
        </w:rPr>
        <w:t>. Applications in Plant Sciences 12:e11601.</w:t>
      </w:r>
    </w:p>
    <w:p w14:paraId="15F1FF63" w14:textId="77777777" w:rsidR="00BB367E" w:rsidRPr="00C76FD3" w:rsidRDefault="00C76FD3" w:rsidP="00C76FD3">
      <w:pPr>
        <w:pStyle w:val="Bibliography"/>
        <w:spacing w:line="480" w:lineRule="auto"/>
        <w:rPr>
          <w:rFonts w:ascii="Times New Roman" w:hAnsi="Times New Roman" w:cs="Times New Roman"/>
        </w:rPr>
      </w:pPr>
      <w:bookmarkStart w:id="17" w:name="ref-donald2022"/>
      <w:bookmarkEnd w:id="16"/>
      <w:r w:rsidRPr="00C76FD3">
        <w:rPr>
          <w:rFonts w:ascii="Times New Roman" w:hAnsi="Times New Roman" w:cs="Times New Roman"/>
        </w:rPr>
        <w:t xml:space="preserve">Donald, M. L., J. A. Galbraith, D. A. Erastova, A. Podolyan, T. E. X. Miller, and M. K. Dhami. 2022. </w:t>
      </w:r>
      <w:hyperlink r:id="rId23">
        <w:r w:rsidRPr="00C76FD3">
          <w:rPr>
            <w:rStyle w:val="Hyperlink"/>
            <w:rFonts w:ascii="Times New Roman" w:hAnsi="Times New Roman" w:cs="Times New Roman"/>
          </w:rPr>
          <w:t>Nectar resources affect bird-dispersed microbial metacommunities in suburban and rural gardens</w:t>
        </w:r>
      </w:hyperlink>
      <w:r w:rsidRPr="00C76FD3">
        <w:rPr>
          <w:rFonts w:ascii="Times New Roman" w:hAnsi="Times New Roman" w:cs="Times New Roman"/>
        </w:rPr>
        <w:t>. Environmental Microbiology 24:5654–5665.</w:t>
      </w:r>
    </w:p>
    <w:p w14:paraId="7FDF34AE" w14:textId="77777777" w:rsidR="00BB367E" w:rsidRPr="00C76FD3" w:rsidRDefault="00C76FD3" w:rsidP="00C76FD3">
      <w:pPr>
        <w:pStyle w:val="Bibliography"/>
        <w:spacing w:line="480" w:lineRule="auto"/>
        <w:rPr>
          <w:rFonts w:ascii="Times New Roman" w:hAnsi="Times New Roman" w:cs="Times New Roman"/>
        </w:rPr>
      </w:pPr>
      <w:bookmarkStart w:id="18" w:name="ref-bipartite"/>
      <w:bookmarkEnd w:id="17"/>
      <w:r w:rsidRPr="00C76FD3">
        <w:rPr>
          <w:rFonts w:ascii="Times New Roman" w:hAnsi="Times New Roman" w:cs="Times New Roman"/>
        </w:rPr>
        <w:t>Dormann, C. F., J. Fruend, N. Bluethgen, and B. Gruber. 2009. Indices, graphs and null models: Analyzing bipartite ecological networks. 2:7–24.</w:t>
      </w:r>
    </w:p>
    <w:p w14:paraId="30F4EE7F" w14:textId="77777777" w:rsidR="00BB367E" w:rsidRPr="00C76FD3" w:rsidRDefault="00C76FD3" w:rsidP="00C76FD3">
      <w:pPr>
        <w:pStyle w:val="Bibliography"/>
        <w:spacing w:line="480" w:lineRule="auto"/>
        <w:rPr>
          <w:rFonts w:ascii="Times New Roman" w:hAnsi="Times New Roman" w:cs="Times New Roman"/>
        </w:rPr>
      </w:pPr>
      <w:bookmarkStart w:id="19" w:name="ref-emer2023"/>
      <w:bookmarkEnd w:id="18"/>
      <w:r w:rsidRPr="00C76FD3">
        <w:rPr>
          <w:rFonts w:ascii="Times New Roman" w:hAnsi="Times New Roman" w:cs="Times New Roman"/>
        </w:rPr>
        <w:t xml:space="preserve">Emer, C., and J. Memmott. 2023. </w:t>
      </w:r>
      <w:hyperlink r:id="rId24">
        <w:r w:rsidRPr="00C76FD3">
          <w:rPr>
            <w:rStyle w:val="Hyperlink"/>
            <w:rFonts w:ascii="Times New Roman" w:hAnsi="Times New Roman" w:cs="Times New Roman"/>
          </w:rPr>
          <w:t>Intraspecific variation of invaded pollination networks  the role of pollen-transport, pollen-transfer and different levels of biological organization</w:t>
        </w:r>
      </w:hyperlink>
      <w:r w:rsidRPr="00C76FD3">
        <w:rPr>
          <w:rFonts w:ascii="Times New Roman" w:hAnsi="Times New Roman" w:cs="Times New Roman"/>
        </w:rPr>
        <w:t>. Perspectives in Ecology and Conservation 21:151–163.</w:t>
      </w:r>
    </w:p>
    <w:p w14:paraId="3F6E5E92" w14:textId="77777777" w:rsidR="00BB367E" w:rsidRPr="00C76FD3" w:rsidRDefault="00C76FD3" w:rsidP="00C76FD3">
      <w:pPr>
        <w:pStyle w:val="Bibliography"/>
        <w:spacing w:line="480" w:lineRule="auto"/>
        <w:rPr>
          <w:rFonts w:ascii="Times New Roman" w:hAnsi="Times New Roman" w:cs="Times New Roman"/>
        </w:rPr>
      </w:pPr>
      <w:bookmarkStart w:id="20" w:name="ref-espinosaprieto2024"/>
      <w:bookmarkEnd w:id="19"/>
      <w:r w:rsidRPr="00C76FD3">
        <w:rPr>
          <w:rFonts w:ascii="Times New Roman" w:hAnsi="Times New Roman" w:cs="Times New Roman"/>
        </w:rPr>
        <w:t xml:space="preserve">Espinosa Prieto, A., L. Hardion, N. Debortoli, and J.-N. Beisel. 2024. </w:t>
      </w:r>
      <w:hyperlink r:id="rId25">
        <w:r w:rsidRPr="00C76FD3">
          <w:rPr>
            <w:rStyle w:val="Hyperlink"/>
            <w:rFonts w:ascii="Times New Roman" w:hAnsi="Times New Roman" w:cs="Times New Roman"/>
          </w:rPr>
          <w:t>Finding the perfect pairs: A matchmaking of plant markers and primers for multi-marker eDNA metabarcoding</w:t>
        </w:r>
      </w:hyperlink>
      <w:r w:rsidRPr="00C76FD3">
        <w:rPr>
          <w:rFonts w:ascii="Times New Roman" w:hAnsi="Times New Roman" w:cs="Times New Roman"/>
        </w:rPr>
        <w:t>. Molecular Ecology Resources 24:e13937.</w:t>
      </w:r>
    </w:p>
    <w:p w14:paraId="082ED81D" w14:textId="77777777" w:rsidR="00BB367E" w:rsidRPr="00C76FD3" w:rsidRDefault="00C76FD3" w:rsidP="00C76FD3">
      <w:pPr>
        <w:pStyle w:val="Bibliography"/>
        <w:spacing w:line="480" w:lineRule="auto"/>
        <w:rPr>
          <w:rFonts w:ascii="Times New Roman" w:hAnsi="Times New Roman" w:cs="Times New Roman"/>
          <w:lang w:val="es-ES"/>
        </w:rPr>
      </w:pPr>
      <w:bookmarkStart w:id="21" w:name="ref-evans2020"/>
      <w:bookmarkEnd w:id="20"/>
      <w:r w:rsidRPr="00C76FD3">
        <w:rPr>
          <w:rFonts w:ascii="Times New Roman" w:hAnsi="Times New Roman" w:cs="Times New Roman"/>
        </w:rPr>
        <w:lastRenderedPageBreak/>
        <w:t xml:space="preserve">Evans, D., and J. Kitson. 2020. </w:t>
      </w:r>
      <w:hyperlink r:id="rId26">
        <w:r w:rsidRPr="00C76FD3">
          <w:rPr>
            <w:rStyle w:val="Hyperlink"/>
            <w:rFonts w:ascii="Times New Roman" w:hAnsi="Times New Roman" w:cs="Times New Roman"/>
          </w:rPr>
          <w:t>Molecular ecology as a tool for understanding pollination and other plant-insect interactions</w:t>
        </w:r>
      </w:hyperlink>
      <w:r w:rsidRPr="00C76FD3">
        <w:rPr>
          <w:rFonts w:ascii="Times New Roman" w:hAnsi="Times New Roman" w:cs="Times New Roman"/>
        </w:rPr>
        <w:t xml:space="preserve">. </w:t>
      </w:r>
      <w:r w:rsidRPr="00C76FD3">
        <w:rPr>
          <w:rFonts w:ascii="Times New Roman" w:hAnsi="Times New Roman" w:cs="Times New Roman"/>
          <w:lang w:val="es-ES"/>
        </w:rPr>
        <w:t>Current Opinion in Insect Science 38:26–33.</w:t>
      </w:r>
    </w:p>
    <w:p w14:paraId="0825988C" w14:textId="77777777" w:rsidR="00BB367E" w:rsidRPr="00C76FD3" w:rsidRDefault="00C76FD3" w:rsidP="00C76FD3">
      <w:pPr>
        <w:pStyle w:val="Bibliography"/>
        <w:spacing w:line="480" w:lineRule="auto"/>
        <w:rPr>
          <w:rFonts w:ascii="Times New Roman" w:hAnsi="Times New Roman" w:cs="Times New Roman"/>
          <w:lang w:val="es-ES"/>
        </w:rPr>
      </w:pPr>
      <w:bookmarkStart w:id="22" w:name="ref-haag2023"/>
      <w:bookmarkEnd w:id="21"/>
      <w:r w:rsidRPr="00C76FD3">
        <w:rPr>
          <w:rFonts w:ascii="Times New Roman" w:hAnsi="Times New Roman" w:cs="Times New Roman"/>
          <w:lang w:val="es-ES"/>
        </w:rPr>
        <w:t xml:space="preserve">Haag, K. L., L. Caesar, M. da Silveira Regueira-Neto, D. R. de Sousa, V. Montenegro Marcelino, V. de Queiroz Balbino, and A. Torres Carvalho. </w:t>
      </w:r>
      <w:r w:rsidRPr="00C76FD3">
        <w:rPr>
          <w:rFonts w:ascii="Times New Roman" w:hAnsi="Times New Roman" w:cs="Times New Roman"/>
        </w:rPr>
        <w:t xml:space="preserve">2023. </w:t>
      </w:r>
      <w:hyperlink r:id="rId27">
        <w:r w:rsidRPr="00C76FD3">
          <w:rPr>
            <w:rStyle w:val="Hyperlink"/>
            <w:rFonts w:ascii="Times New Roman" w:hAnsi="Times New Roman" w:cs="Times New Roman"/>
          </w:rPr>
          <w:t>Temporal Changes in Gut Microbiota Composition and Pollen Diet Associated with Colony Weakness of a Stingless Bee</w:t>
        </w:r>
      </w:hyperlink>
      <w:r w:rsidRPr="00C76FD3">
        <w:rPr>
          <w:rFonts w:ascii="Times New Roman" w:hAnsi="Times New Roman" w:cs="Times New Roman"/>
        </w:rPr>
        <w:t xml:space="preserve">. </w:t>
      </w:r>
      <w:r w:rsidRPr="00C76FD3">
        <w:rPr>
          <w:rFonts w:ascii="Times New Roman" w:hAnsi="Times New Roman" w:cs="Times New Roman"/>
          <w:lang w:val="es-ES"/>
        </w:rPr>
        <w:t>Microbial Ecology 85:1514–1526.</w:t>
      </w:r>
    </w:p>
    <w:p w14:paraId="2559D554" w14:textId="77777777" w:rsidR="00BB367E" w:rsidRPr="00C76FD3" w:rsidRDefault="00C76FD3" w:rsidP="00C76FD3">
      <w:pPr>
        <w:pStyle w:val="Bibliography"/>
        <w:spacing w:line="480" w:lineRule="auto"/>
        <w:rPr>
          <w:rFonts w:ascii="Times New Roman" w:hAnsi="Times New Roman" w:cs="Times New Roman"/>
          <w:lang w:val="es-ES"/>
        </w:rPr>
      </w:pPr>
      <w:bookmarkStart w:id="23" w:name="ref-agut2025"/>
      <w:bookmarkEnd w:id="22"/>
      <w:r w:rsidRPr="00EC4F2E">
        <w:rPr>
          <w:rFonts w:ascii="Times New Roman" w:hAnsi="Times New Roman" w:cs="Times New Roman"/>
        </w:rPr>
        <w:t xml:space="preserve">Hermosilla, B., and A. Agut. 2025. </w:t>
      </w:r>
      <w:hyperlink r:id="rId28">
        <w:r w:rsidRPr="00C76FD3">
          <w:rPr>
            <w:rStyle w:val="Hyperlink"/>
            <w:rFonts w:ascii="Times New Roman" w:hAnsi="Times New Roman" w:cs="Times New Roman"/>
            <w:lang w:val="es-ES"/>
          </w:rPr>
          <w:t>Herbario del Jardín Botánico de Olarizu (Vitoria-Gasteiz)/Olarizuko Lorategi Botanikoaren Herbarioa (Vitoria-Gasteiz)</w:t>
        </w:r>
      </w:hyperlink>
      <w:r w:rsidRPr="00C76FD3">
        <w:rPr>
          <w:rFonts w:ascii="Times New Roman" w:hAnsi="Times New Roman" w:cs="Times New Roman"/>
          <w:lang w:val="es-ES"/>
        </w:rPr>
        <w:t>. Jardín Botánico de Olarizu (Vitoria-Gasteiz)/Olarizuko Lorategi Botanikoa (Vitoria-Gasteiz).</w:t>
      </w:r>
    </w:p>
    <w:p w14:paraId="0259C046" w14:textId="77777777" w:rsidR="00BB367E" w:rsidRPr="00C76FD3" w:rsidRDefault="00C76FD3" w:rsidP="00C76FD3">
      <w:pPr>
        <w:pStyle w:val="Bibliography"/>
        <w:spacing w:line="480" w:lineRule="auto"/>
        <w:rPr>
          <w:rFonts w:ascii="Times New Roman" w:hAnsi="Times New Roman" w:cs="Times New Roman"/>
        </w:rPr>
      </w:pPr>
      <w:bookmarkStart w:id="24" w:name="ref-ibiyemi2025"/>
      <w:bookmarkEnd w:id="23"/>
      <w:r w:rsidRPr="00C76FD3">
        <w:rPr>
          <w:rFonts w:ascii="Times New Roman" w:hAnsi="Times New Roman" w:cs="Times New Roman"/>
        </w:rPr>
        <w:t xml:space="preserve">Ibiyemi, D., K. Harris-Shultz, D. Jespersen, and S. V. Joseph. 2025. </w:t>
      </w:r>
      <w:hyperlink r:id="rId29">
        <w:r w:rsidRPr="00C76FD3">
          <w:rPr>
            <w:rStyle w:val="Hyperlink"/>
            <w:rFonts w:ascii="Times New Roman" w:hAnsi="Times New Roman" w:cs="Times New Roman"/>
          </w:rPr>
          <w:t>Understanding the Foraging Behavior of Sweat Bees, Bumble Bees, and Honey Bees on Centipedegrass for Conservation Strategies</w:t>
        </w:r>
      </w:hyperlink>
      <w:r w:rsidRPr="00C76FD3">
        <w:rPr>
          <w:rFonts w:ascii="Times New Roman" w:hAnsi="Times New Roman" w:cs="Times New Roman"/>
        </w:rPr>
        <w:t>. Journal of Insect Behavior 38:29.</w:t>
      </w:r>
    </w:p>
    <w:p w14:paraId="4831FF37" w14:textId="77777777" w:rsidR="00BB367E" w:rsidRPr="00C76FD3" w:rsidRDefault="00C76FD3" w:rsidP="00C76FD3">
      <w:pPr>
        <w:pStyle w:val="Bibliography"/>
        <w:spacing w:line="480" w:lineRule="auto"/>
        <w:rPr>
          <w:rFonts w:ascii="Times New Roman" w:hAnsi="Times New Roman" w:cs="Times New Roman"/>
        </w:rPr>
      </w:pPr>
      <w:bookmarkStart w:id="25" w:name="ref-klein2006"/>
      <w:bookmarkEnd w:id="24"/>
      <w:r w:rsidRPr="00C76FD3">
        <w:rPr>
          <w:rFonts w:ascii="Times New Roman" w:hAnsi="Times New Roman" w:cs="Times New Roman"/>
        </w:rPr>
        <w:t xml:space="preserve">Klein, A.-M., B. E. Vaissière, J. H. Cane, I. Steffan-Dewenter, S. A. Cunningham, C. Kremen, and T. Tscharntke. 2006. </w:t>
      </w:r>
      <w:hyperlink r:id="rId30">
        <w:r w:rsidRPr="00C76FD3">
          <w:rPr>
            <w:rStyle w:val="Hyperlink"/>
            <w:rFonts w:ascii="Times New Roman" w:hAnsi="Times New Roman" w:cs="Times New Roman"/>
          </w:rPr>
          <w:t>Importance of pollinators in changing landscapes for world crops</w:t>
        </w:r>
      </w:hyperlink>
      <w:r w:rsidRPr="00C76FD3">
        <w:rPr>
          <w:rFonts w:ascii="Times New Roman" w:hAnsi="Times New Roman" w:cs="Times New Roman"/>
        </w:rPr>
        <w:t>. Proceedings of the Royal Society B: Biological Sciences 274:303–313.</w:t>
      </w:r>
    </w:p>
    <w:p w14:paraId="4118CD41" w14:textId="77777777" w:rsidR="00BB367E" w:rsidRPr="00C76FD3" w:rsidRDefault="00C76FD3" w:rsidP="00C76FD3">
      <w:pPr>
        <w:pStyle w:val="Bibliography"/>
        <w:spacing w:line="480" w:lineRule="auto"/>
        <w:rPr>
          <w:rFonts w:ascii="Times New Roman" w:hAnsi="Times New Roman" w:cs="Times New Roman"/>
        </w:rPr>
      </w:pPr>
      <w:bookmarkStart w:id="26" w:name="ref-leach2018"/>
      <w:bookmarkEnd w:id="25"/>
      <w:r w:rsidRPr="00C76FD3">
        <w:rPr>
          <w:rFonts w:ascii="Times New Roman" w:hAnsi="Times New Roman" w:cs="Times New Roman"/>
        </w:rPr>
        <w:t xml:space="preserve">Leach, M. E., and F. Drummond. 2018. </w:t>
      </w:r>
      <w:hyperlink r:id="rId31">
        <w:r w:rsidRPr="00C76FD3">
          <w:rPr>
            <w:rStyle w:val="Hyperlink"/>
            <w:rFonts w:ascii="Times New Roman" w:hAnsi="Times New Roman" w:cs="Times New Roman"/>
          </w:rPr>
          <w:t>A Review of Native Wild Bee Nutritional Health</w:t>
        </w:r>
      </w:hyperlink>
      <w:r w:rsidRPr="00C76FD3">
        <w:rPr>
          <w:rFonts w:ascii="Times New Roman" w:hAnsi="Times New Roman" w:cs="Times New Roman"/>
        </w:rPr>
        <w:t>. International Journal of Ecology 2018:9607246.</w:t>
      </w:r>
    </w:p>
    <w:p w14:paraId="6F871326" w14:textId="77777777" w:rsidR="00BB367E" w:rsidRPr="00C76FD3" w:rsidRDefault="00C76FD3" w:rsidP="00C76FD3">
      <w:pPr>
        <w:pStyle w:val="Bibliography"/>
        <w:spacing w:line="480" w:lineRule="auto"/>
        <w:rPr>
          <w:rFonts w:ascii="Times New Roman" w:hAnsi="Times New Roman" w:cs="Times New Roman"/>
          <w:lang w:val="es-ES"/>
        </w:rPr>
      </w:pPr>
      <w:bookmarkStart w:id="27" w:name="ref-leonhardt2012"/>
      <w:bookmarkEnd w:id="26"/>
      <w:r w:rsidRPr="00C76FD3">
        <w:rPr>
          <w:rFonts w:ascii="Times New Roman" w:hAnsi="Times New Roman" w:cs="Times New Roman"/>
        </w:rPr>
        <w:t xml:space="preserve">Leonhardt, S. D., and N. Blüthgen. 2012. </w:t>
      </w:r>
      <w:hyperlink r:id="rId32">
        <w:r w:rsidRPr="00C76FD3">
          <w:rPr>
            <w:rStyle w:val="Hyperlink"/>
            <w:rFonts w:ascii="Times New Roman" w:hAnsi="Times New Roman" w:cs="Times New Roman"/>
          </w:rPr>
          <w:t>The same, but different: pollen foraging in honeybee and bumblebee colonies</w:t>
        </w:r>
      </w:hyperlink>
      <w:r w:rsidRPr="00C76FD3">
        <w:rPr>
          <w:rFonts w:ascii="Times New Roman" w:hAnsi="Times New Roman" w:cs="Times New Roman"/>
        </w:rPr>
        <w:t xml:space="preserve">. </w:t>
      </w:r>
      <w:r w:rsidRPr="00C76FD3">
        <w:rPr>
          <w:rFonts w:ascii="Times New Roman" w:hAnsi="Times New Roman" w:cs="Times New Roman"/>
          <w:lang w:val="es-ES"/>
        </w:rPr>
        <w:t>Apidologie 43:449–464.</w:t>
      </w:r>
    </w:p>
    <w:p w14:paraId="2BF67F29" w14:textId="77777777" w:rsidR="00BB367E" w:rsidRPr="00C76FD3" w:rsidRDefault="00C76FD3" w:rsidP="00C76FD3">
      <w:pPr>
        <w:pStyle w:val="Bibliography"/>
        <w:spacing w:line="480" w:lineRule="auto"/>
        <w:rPr>
          <w:rFonts w:ascii="Times New Roman" w:hAnsi="Times New Roman" w:cs="Times New Roman"/>
        </w:rPr>
      </w:pPr>
      <w:bookmarkStart w:id="28" w:name="ref-leontidou2021"/>
      <w:bookmarkEnd w:id="27"/>
      <w:r w:rsidRPr="00C76FD3">
        <w:rPr>
          <w:rFonts w:ascii="Times New Roman" w:hAnsi="Times New Roman" w:cs="Times New Roman"/>
          <w:lang w:val="es-ES"/>
        </w:rPr>
        <w:lastRenderedPageBreak/>
        <w:t xml:space="preserve">Leontidou, K., D. Vokou, A. Sandionigi, A. Bruno, M. Lazarina, J. De Groeve, M. Li, and C. Varotto et al. 2021. </w:t>
      </w:r>
      <w:hyperlink r:id="rId33">
        <w:r w:rsidRPr="00C76FD3">
          <w:rPr>
            <w:rStyle w:val="Hyperlink"/>
            <w:rFonts w:ascii="Times New Roman" w:hAnsi="Times New Roman" w:cs="Times New Roman"/>
          </w:rPr>
          <w:t>Plant biodiversity assessment through pollen DNA metabarcoding in Natura 2000 habitats (Italian Alps)</w:t>
        </w:r>
      </w:hyperlink>
      <w:r w:rsidRPr="00C76FD3">
        <w:rPr>
          <w:rFonts w:ascii="Times New Roman" w:hAnsi="Times New Roman" w:cs="Times New Roman"/>
        </w:rPr>
        <w:t>. Scientific Reports 11:18226.</w:t>
      </w:r>
    </w:p>
    <w:p w14:paraId="2A79002B" w14:textId="77777777" w:rsidR="00BB367E" w:rsidRPr="00C76FD3" w:rsidRDefault="00C76FD3" w:rsidP="00C76FD3">
      <w:pPr>
        <w:pStyle w:val="Bibliography"/>
        <w:spacing w:line="480" w:lineRule="auto"/>
        <w:rPr>
          <w:rFonts w:ascii="Times New Roman" w:hAnsi="Times New Roman" w:cs="Times New Roman"/>
        </w:rPr>
      </w:pPr>
      <w:bookmarkStart w:id="29" w:name="ref-leponiemi2023"/>
      <w:bookmarkEnd w:id="28"/>
      <w:r w:rsidRPr="00C76FD3">
        <w:rPr>
          <w:rFonts w:ascii="Times New Roman" w:hAnsi="Times New Roman" w:cs="Times New Roman"/>
        </w:rPr>
        <w:t xml:space="preserve">Leponiemi, M., D. Freitak, M. Moreno-Torres, E.-M. Pferschy-Wenzig, A. Becker-Scarpitta, M. Tiusanen, E. J. Vesterinen, and H. Wirta. 2023. </w:t>
      </w:r>
      <w:hyperlink r:id="rId34">
        <w:r w:rsidRPr="00C76FD3">
          <w:rPr>
            <w:rStyle w:val="Hyperlink"/>
            <w:rFonts w:ascii="Times New Roman" w:hAnsi="Times New Roman" w:cs="Times New Roman"/>
          </w:rPr>
          <w:t>Honeybees’ foraging choices for nectar and pollen revealed by DNA metabarcoding</w:t>
        </w:r>
      </w:hyperlink>
      <w:r w:rsidRPr="00C76FD3">
        <w:rPr>
          <w:rFonts w:ascii="Times New Roman" w:hAnsi="Times New Roman" w:cs="Times New Roman"/>
        </w:rPr>
        <w:t>. Scientific Reports 13:14753.</w:t>
      </w:r>
    </w:p>
    <w:p w14:paraId="7F0834E7" w14:textId="77777777" w:rsidR="00BB367E" w:rsidRPr="00C76FD3" w:rsidRDefault="00C76FD3" w:rsidP="00C76FD3">
      <w:pPr>
        <w:pStyle w:val="Bibliography"/>
        <w:spacing w:line="480" w:lineRule="auto"/>
        <w:rPr>
          <w:rFonts w:ascii="Times New Roman" w:hAnsi="Times New Roman" w:cs="Times New Roman"/>
        </w:rPr>
      </w:pPr>
      <w:bookmarkStart w:id="30" w:name="ref-li2025"/>
      <w:bookmarkEnd w:id="29"/>
      <w:r w:rsidRPr="00C76FD3">
        <w:rPr>
          <w:rFonts w:ascii="Times New Roman" w:hAnsi="Times New Roman" w:cs="Times New Roman"/>
        </w:rPr>
        <w:t xml:space="preserve">Li, Y., C. Liu, Y. Wang, M. Li, S. Zou, X. Hu, and Z. Chen et al. 2025. </w:t>
      </w:r>
      <w:hyperlink r:id="rId35">
        <w:r w:rsidRPr="00C76FD3">
          <w:rPr>
            <w:rStyle w:val="Hyperlink"/>
            <w:rFonts w:ascii="Times New Roman" w:hAnsi="Times New Roman" w:cs="Times New Roman"/>
          </w:rPr>
          <w:t>Urban wild bee well-being revealed by gut metagenome data: A mason bee model</w:t>
        </w:r>
      </w:hyperlink>
      <w:r w:rsidRPr="00C76FD3">
        <w:rPr>
          <w:rFonts w:ascii="Times New Roman" w:hAnsi="Times New Roman" w:cs="Times New Roman"/>
        </w:rPr>
        <w:t>. Insect Science 32.</w:t>
      </w:r>
    </w:p>
    <w:p w14:paraId="78E28677" w14:textId="77777777" w:rsidR="00BB367E" w:rsidRPr="00C76FD3" w:rsidRDefault="00C76FD3" w:rsidP="00C76FD3">
      <w:pPr>
        <w:pStyle w:val="Bibliography"/>
        <w:spacing w:line="480" w:lineRule="auto"/>
        <w:rPr>
          <w:rFonts w:ascii="Times New Roman" w:hAnsi="Times New Roman" w:cs="Times New Roman"/>
        </w:rPr>
      </w:pPr>
      <w:bookmarkStart w:id="31" w:name="ref-lignon2024"/>
      <w:bookmarkEnd w:id="30"/>
      <w:r w:rsidRPr="00C76FD3">
        <w:rPr>
          <w:rFonts w:ascii="Times New Roman" w:hAnsi="Times New Roman" w:cs="Times New Roman"/>
        </w:rPr>
        <w:t xml:space="preserve">Lignon, V. A., F. Mas, E. E. Jones, C. Kaiser, and M. K. Dhami. 2024. </w:t>
      </w:r>
      <w:hyperlink r:id="rId36">
        <w:r w:rsidRPr="00C76FD3">
          <w:rPr>
            <w:rStyle w:val="Hyperlink"/>
            <w:rFonts w:ascii="Times New Roman" w:hAnsi="Times New Roman" w:cs="Times New Roman"/>
          </w:rPr>
          <w:t>The floral interface: a playground for interactions between insect pollinators, microbes, and plants</w:t>
        </w:r>
      </w:hyperlink>
      <w:r w:rsidRPr="00C76FD3">
        <w:rPr>
          <w:rFonts w:ascii="Times New Roman" w:hAnsi="Times New Roman" w:cs="Times New Roman"/>
        </w:rPr>
        <w:t>. New Zealand Journal of Zoology:1–20.</w:t>
      </w:r>
    </w:p>
    <w:p w14:paraId="254D6982" w14:textId="77777777" w:rsidR="00BB367E" w:rsidRPr="00C76FD3" w:rsidRDefault="00C76FD3" w:rsidP="00C76FD3">
      <w:pPr>
        <w:pStyle w:val="Bibliography"/>
        <w:spacing w:line="480" w:lineRule="auto"/>
        <w:rPr>
          <w:rFonts w:ascii="Times New Roman" w:hAnsi="Times New Roman" w:cs="Times New Roman"/>
        </w:rPr>
      </w:pPr>
      <w:bookmarkStart w:id="32" w:name="ref-lowe2022"/>
      <w:bookmarkEnd w:id="31"/>
      <w:r w:rsidRPr="00C76FD3">
        <w:rPr>
          <w:rFonts w:ascii="Times New Roman" w:hAnsi="Times New Roman" w:cs="Times New Roman"/>
        </w:rPr>
        <w:t xml:space="preserve">Lowe, A., L. Jones, L. Witter, S. Creer, and N. de Vere. 2022. </w:t>
      </w:r>
      <w:hyperlink r:id="rId37">
        <w:r w:rsidRPr="00C76FD3">
          <w:rPr>
            <w:rStyle w:val="Hyperlink"/>
            <w:rFonts w:ascii="Times New Roman" w:hAnsi="Times New Roman" w:cs="Times New Roman"/>
          </w:rPr>
          <w:t>Using DNA Metabarcoding to Identify Floral Visitation by Pollinators</w:t>
        </w:r>
      </w:hyperlink>
      <w:r w:rsidRPr="00C76FD3">
        <w:rPr>
          <w:rFonts w:ascii="Times New Roman" w:hAnsi="Times New Roman" w:cs="Times New Roman"/>
        </w:rPr>
        <w:t>. Diversity 14:236.</w:t>
      </w:r>
    </w:p>
    <w:p w14:paraId="25D577D2" w14:textId="77777777" w:rsidR="00BB367E" w:rsidRPr="00C76FD3" w:rsidRDefault="00C76FD3" w:rsidP="00C76FD3">
      <w:pPr>
        <w:pStyle w:val="Bibliography"/>
        <w:spacing w:line="480" w:lineRule="auto"/>
        <w:rPr>
          <w:rFonts w:ascii="Times New Roman" w:hAnsi="Times New Roman" w:cs="Times New Roman"/>
        </w:rPr>
      </w:pPr>
      <w:bookmarkStart w:id="33" w:name="ref-mayr2021"/>
      <w:bookmarkEnd w:id="32"/>
      <w:r w:rsidRPr="00C76FD3">
        <w:rPr>
          <w:rFonts w:ascii="Times New Roman" w:hAnsi="Times New Roman" w:cs="Times New Roman"/>
        </w:rPr>
        <w:t xml:space="preserve">Mayr, A. V., A. Keller, M. K. Peters, G. Grimmer, B. Krischke, M. Geyer, T. Schmitt, and I. Steffan-Dewenter. 2021. </w:t>
      </w:r>
      <w:hyperlink r:id="rId38">
        <w:r w:rsidRPr="00C76FD3">
          <w:rPr>
            <w:rStyle w:val="Hyperlink"/>
            <w:rFonts w:ascii="Times New Roman" w:hAnsi="Times New Roman" w:cs="Times New Roman"/>
          </w:rPr>
          <w:t>Cryptic species and hidden ecological interactions of halictine bees along an elevational gradient</w:t>
        </w:r>
      </w:hyperlink>
      <w:r w:rsidRPr="00C76FD3">
        <w:rPr>
          <w:rFonts w:ascii="Times New Roman" w:hAnsi="Times New Roman" w:cs="Times New Roman"/>
        </w:rPr>
        <w:t>. Ecology and Evolution 11:7700–7712.</w:t>
      </w:r>
    </w:p>
    <w:p w14:paraId="096273BB" w14:textId="77777777" w:rsidR="00BB367E" w:rsidRPr="00C76FD3" w:rsidRDefault="00C76FD3" w:rsidP="00C76FD3">
      <w:pPr>
        <w:pStyle w:val="Bibliography"/>
        <w:spacing w:line="480" w:lineRule="auto"/>
        <w:rPr>
          <w:rFonts w:ascii="Times New Roman" w:hAnsi="Times New Roman" w:cs="Times New Roman"/>
        </w:rPr>
      </w:pPr>
      <w:bookmarkStart w:id="34" w:name="ref-phyloseq"/>
      <w:bookmarkEnd w:id="33"/>
      <w:r w:rsidRPr="00C76FD3">
        <w:rPr>
          <w:rFonts w:ascii="Times New Roman" w:hAnsi="Times New Roman" w:cs="Times New Roman"/>
        </w:rPr>
        <w:t xml:space="preserve">McMurdie, P. J., and S. Holmes. 2013. </w:t>
      </w:r>
      <w:hyperlink r:id="rId39">
        <w:r w:rsidRPr="00C76FD3">
          <w:rPr>
            <w:rStyle w:val="Hyperlink"/>
            <w:rFonts w:ascii="Times New Roman" w:hAnsi="Times New Roman" w:cs="Times New Roman"/>
          </w:rPr>
          <w:t>Phyloseq: An r package for reproducible interactive analysis and graphics of microbiome census data</w:t>
        </w:r>
      </w:hyperlink>
      <w:r w:rsidRPr="00C76FD3">
        <w:rPr>
          <w:rFonts w:ascii="Times New Roman" w:hAnsi="Times New Roman" w:cs="Times New Roman"/>
        </w:rPr>
        <w:t xml:space="preserve"> 8:e61217.</w:t>
      </w:r>
    </w:p>
    <w:p w14:paraId="20FE8881" w14:textId="77777777" w:rsidR="00BB367E" w:rsidRPr="00C76FD3" w:rsidRDefault="00C76FD3" w:rsidP="00C76FD3">
      <w:pPr>
        <w:pStyle w:val="Bibliography"/>
        <w:spacing w:line="480" w:lineRule="auto"/>
        <w:rPr>
          <w:rFonts w:ascii="Times New Roman" w:hAnsi="Times New Roman" w:cs="Times New Roman"/>
        </w:rPr>
      </w:pPr>
      <w:bookmarkStart w:id="35" w:name="ref-milla2022"/>
      <w:bookmarkEnd w:id="34"/>
      <w:r w:rsidRPr="00C76FD3">
        <w:rPr>
          <w:rFonts w:ascii="Times New Roman" w:hAnsi="Times New Roman" w:cs="Times New Roman"/>
        </w:rPr>
        <w:t xml:space="preserve">Milla, L., A. Schmidt-Lebuhn, J. Bovill, and F. Encinas-Viso. 2022. </w:t>
      </w:r>
      <w:hyperlink r:id="rId40">
        <w:r w:rsidRPr="00C76FD3">
          <w:rPr>
            <w:rStyle w:val="Hyperlink"/>
            <w:rFonts w:ascii="Times New Roman" w:hAnsi="Times New Roman" w:cs="Times New Roman"/>
          </w:rPr>
          <w:t>Monitoring of honey bee floral resources with pollen DNA metabarcoding as a complementary tool to vegetation surveys</w:t>
        </w:r>
      </w:hyperlink>
      <w:r w:rsidRPr="00C76FD3">
        <w:rPr>
          <w:rFonts w:ascii="Times New Roman" w:hAnsi="Times New Roman" w:cs="Times New Roman"/>
        </w:rPr>
        <w:t>. Ecological Solutions and Evidence 3:e12120.</w:t>
      </w:r>
    </w:p>
    <w:p w14:paraId="5FC77FD9" w14:textId="77777777" w:rsidR="00BB367E" w:rsidRPr="00C76FD3" w:rsidRDefault="00C76FD3" w:rsidP="00C76FD3">
      <w:pPr>
        <w:pStyle w:val="Bibliography"/>
        <w:spacing w:line="480" w:lineRule="auto"/>
        <w:rPr>
          <w:rFonts w:ascii="Times New Roman" w:hAnsi="Times New Roman" w:cs="Times New Roman"/>
        </w:rPr>
      </w:pPr>
      <w:bookmarkStart w:id="36" w:name="ref-morozumi2022"/>
      <w:bookmarkEnd w:id="35"/>
      <w:r w:rsidRPr="00C76FD3">
        <w:rPr>
          <w:rFonts w:ascii="Times New Roman" w:hAnsi="Times New Roman" w:cs="Times New Roman"/>
        </w:rPr>
        <w:lastRenderedPageBreak/>
        <w:t xml:space="preserve">Morozumi, C., X. Loy, V. Reynolds, A. Schiffer, B. Morrison, J. Savage, and B. Brosi. 2022. </w:t>
      </w:r>
      <w:hyperlink r:id="rId41">
        <w:r w:rsidRPr="00C76FD3">
          <w:rPr>
            <w:rStyle w:val="Hyperlink"/>
            <w:rFonts w:ascii="Times New Roman" w:hAnsi="Times New Roman" w:cs="Times New Roman"/>
          </w:rPr>
          <w:t>Simultaneous niche expansion and contraction in plantpollinator networks under drought</w:t>
        </w:r>
      </w:hyperlink>
      <w:r w:rsidRPr="00C76FD3">
        <w:rPr>
          <w:rFonts w:ascii="Times New Roman" w:hAnsi="Times New Roman" w:cs="Times New Roman"/>
        </w:rPr>
        <w:t>. Oikos 2022:e09265.</w:t>
      </w:r>
    </w:p>
    <w:p w14:paraId="03809083" w14:textId="77777777" w:rsidR="00BB367E" w:rsidRPr="00C76FD3" w:rsidRDefault="00C76FD3" w:rsidP="00C76FD3">
      <w:pPr>
        <w:pStyle w:val="Bibliography"/>
        <w:spacing w:line="480" w:lineRule="auto"/>
        <w:rPr>
          <w:rFonts w:ascii="Times New Roman" w:hAnsi="Times New Roman" w:cs="Times New Roman"/>
        </w:rPr>
      </w:pPr>
      <w:bookmarkStart w:id="37" w:name="ref-negri2015"/>
      <w:bookmarkEnd w:id="36"/>
      <w:r w:rsidRPr="00C76FD3">
        <w:rPr>
          <w:rFonts w:ascii="Times New Roman" w:hAnsi="Times New Roman" w:cs="Times New Roman"/>
        </w:rPr>
        <w:t xml:space="preserve">Negri, I., C. Mavris, G. D. Prisco, E. Caprio, and M. Pellecchia. 2015. </w:t>
      </w:r>
      <w:hyperlink r:id="rId42">
        <w:r w:rsidRPr="00C76FD3">
          <w:rPr>
            <w:rStyle w:val="Hyperlink"/>
            <w:rFonts w:ascii="Times New Roman" w:hAnsi="Times New Roman" w:cs="Times New Roman"/>
          </w:rPr>
          <w:t>Honey Bees (Apis mellifera, L.) as Active Samplers of Airborne Particulate Matter</w:t>
        </w:r>
      </w:hyperlink>
      <w:r w:rsidRPr="00C76FD3">
        <w:rPr>
          <w:rFonts w:ascii="Times New Roman" w:hAnsi="Times New Roman" w:cs="Times New Roman"/>
        </w:rPr>
        <w:t>. PLOS ONE 10:e0132491.</w:t>
      </w:r>
    </w:p>
    <w:p w14:paraId="76349B8C" w14:textId="77777777" w:rsidR="00BB367E" w:rsidRPr="00C76FD3" w:rsidRDefault="00C76FD3" w:rsidP="00C76FD3">
      <w:pPr>
        <w:pStyle w:val="Bibliography"/>
        <w:spacing w:line="480" w:lineRule="auto"/>
        <w:rPr>
          <w:rFonts w:ascii="Times New Roman" w:hAnsi="Times New Roman" w:cs="Times New Roman"/>
        </w:rPr>
      </w:pPr>
      <w:bookmarkStart w:id="38" w:name="ref-vegan"/>
      <w:bookmarkEnd w:id="37"/>
      <w:r w:rsidRPr="00C76FD3">
        <w:rPr>
          <w:rFonts w:ascii="Times New Roman" w:hAnsi="Times New Roman" w:cs="Times New Roman"/>
        </w:rPr>
        <w:t xml:space="preserve">Oksanen, J., G. L. Simpson, F. G. Blanchet, R. Kindt, P. Legendre, P. R. Minchin, and R. B. O’Hara et al. 2024. </w:t>
      </w:r>
      <w:hyperlink r:id="rId43">
        <w:r w:rsidRPr="00C76FD3">
          <w:rPr>
            <w:rStyle w:val="Hyperlink"/>
            <w:rFonts w:ascii="Times New Roman" w:hAnsi="Times New Roman" w:cs="Times New Roman"/>
          </w:rPr>
          <w:t>Vegan: Community ecology package</w:t>
        </w:r>
      </w:hyperlink>
      <w:r w:rsidRPr="00C76FD3">
        <w:rPr>
          <w:rFonts w:ascii="Times New Roman" w:hAnsi="Times New Roman" w:cs="Times New Roman"/>
        </w:rPr>
        <w:t>.</w:t>
      </w:r>
    </w:p>
    <w:p w14:paraId="5B403F45" w14:textId="77777777" w:rsidR="00BB367E" w:rsidRPr="00C76FD3" w:rsidRDefault="00C76FD3" w:rsidP="00C76FD3">
      <w:pPr>
        <w:pStyle w:val="Bibliography"/>
        <w:spacing w:line="480" w:lineRule="auto"/>
        <w:rPr>
          <w:rFonts w:ascii="Times New Roman" w:hAnsi="Times New Roman" w:cs="Times New Roman"/>
        </w:rPr>
      </w:pPr>
      <w:bookmarkStart w:id="39" w:name="ref-pashalidou2020"/>
      <w:bookmarkEnd w:id="38"/>
      <w:r w:rsidRPr="00C76FD3">
        <w:rPr>
          <w:rFonts w:ascii="Times New Roman" w:hAnsi="Times New Roman" w:cs="Times New Roman"/>
        </w:rPr>
        <w:t xml:space="preserve">Pashalidou, F. G., H. Lambert, T. Peybernes, M. C. Mescher, and C. M. De Moraes. 2020. </w:t>
      </w:r>
      <w:hyperlink r:id="rId44">
        <w:r w:rsidRPr="00C76FD3">
          <w:rPr>
            <w:rStyle w:val="Hyperlink"/>
            <w:rFonts w:ascii="Times New Roman" w:hAnsi="Times New Roman" w:cs="Times New Roman"/>
          </w:rPr>
          <w:t>Bumble bees damage plant leaves and accelerate flower production when pollen is scarce</w:t>
        </w:r>
      </w:hyperlink>
      <w:r w:rsidRPr="00C76FD3">
        <w:rPr>
          <w:rFonts w:ascii="Times New Roman" w:hAnsi="Times New Roman" w:cs="Times New Roman"/>
        </w:rPr>
        <w:t>. Science 368:881–884.</w:t>
      </w:r>
    </w:p>
    <w:p w14:paraId="4AC82C2F" w14:textId="77777777" w:rsidR="00BB367E" w:rsidRPr="00C76FD3" w:rsidRDefault="00C76FD3" w:rsidP="00C76FD3">
      <w:pPr>
        <w:pStyle w:val="Bibliography"/>
        <w:spacing w:line="480" w:lineRule="auto"/>
        <w:rPr>
          <w:rFonts w:ascii="Times New Roman" w:hAnsi="Times New Roman" w:cs="Times New Roman"/>
        </w:rPr>
      </w:pPr>
      <w:bookmarkStart w:id="40" w:name="ref-popic2012"/>
      <w:bookmarkEnd w:id="39"/>
      <w:r w:rsidRPr="00C76FD3">
        <w:rPr>
          <w:rFonts w:ascii="Times New Roman" w:hAnsi="Times New Roman" w:cs="Times New Roman"/>
        </w:rPr>
        <w:t xml:space="preserve">Popic, T. J., G. M. Wardle, and Y. C. Davila. 2012. </w:t>
      </w:r>
      <w:hyperlink r:id="rId45">
        <w:r w:rsidRPr="00C76FD3">
          <w:rPr>
            <w:rStyle w:val="Hyperlink"/>
            <w:rFonts w:ascii="Times New Roman" w:hAnsi="Times New Roman" w:cs="Times New Roman"/>
          </w:rPr>
          <w:t>Flower-visitor networks only partially predict the function of pollen transport by bees</w:t>
        </w:r>
      </w:hyperlink>
      <w:r w:rsidRPr="00C76FD3">
        <w:rPr>
          <w:rFonts w:ascii="Times New Roman" w:hAnsi="Times New Roman" w:cs="Times New Roman"/>
        </w:rPr>
        <w:t>. Austral Ecology 38:76–86.</w:t>
      </w:r>
    </w:p>
    <w:p w14:paraId="7C53D30C" w14:textId="77777777" w:rsidR="00BB367E" w:rsidRPr="00C76FD3" w:rsidRDefault="00C76FD3" w:rsidP="00C76FD3">
      <w:pPr>
        <w:pStyle w:val="Bibliography"/>
        <w:spacing w:line="480" w:lineRule="auto"/>
        <w:rPr>
          <w:rFonts w:ascii="Times New Roman" w:hAnsi="Times New Roman" w:cs="Times New Roman"/>
        </w:rPr>
      </w:pPr>
      <w:bookmarkStart w:id="41" w:name="ref-pornon2017"/>
      <w:bookmarkEnd w:id="40"/>
      <w:r w:rsidRPr="00C76FD3">
        <w:rPr>
          <w:rFonts w:ascii="Times New Roman" w:hAnsi="Times New Roman" w:cs="Times New Roman"/>
        </w:rPr>
        <w:t xml:space="preserve">Pornon, A., C. Andalo, M. Burrus, and N. Escaravage. 2017. </w:t>
      </w:r>
      <w:hyperlink r:id="rId46">
        <w:r w:rsidRPr="00C76FD3">
          <w:rPr>
            <w:rStyle w:val="Hyperlink"/>
            <w:rFonts w:ascii="Times New Roman" w:hAnsi="Times New Roman" w:cs="Times New Roman"/>
          </w:rPr>
          <w:t>DNA metabarcoding data unveils invisible pollination networks</w:t>
        </w:r>
      </w:hyperlink>
      <w:r w:rsidRPr="00C76FD3">
        <w:rPr>
          <w:rFonts w:ascii="Times New Roman" w:hAnsi="Times New Roman" w:cs="Times New Roman"/>
        </w:rPr>
        <w:t>. Scientific Reports 7:16828.</w:t>
      </w:r>
    </w:p>
    <w:p w14:paraId="36D47A9B" w14:textId="77777777" w:rsidR="00BB367E" w:rsidRPr="00C76FD3" w:rsidRDefault="00C76FD3" w:rsidP="00C76FD3">
      <w:pPr>
        <w:pStyle w:val="Bibliography"/>
        <w:spacing w:line="480" w:lineRule="auto"/>
        <w:rPr>
          <w:rFonts w:ascii="Times New Roman" w:hAnsi="Times New Roman" w:cs="Times New Roman"/>
        </w:rPr>
      </w:pPr>
      <w:bookmarkStart w:id="42" w:name="ref-quintero2022"/>
      <w:bookmarkEnd w:id="41"/>
      <w:r w:rsidRPr="00C76FD3">
        <w:rPr>
          <w:rFonts w:ascii="Times New Roman" w:hAnsi="Times New Roman" w:cs="Times New Roman"/>
        </w:rPr>
        <w:t xml:space="preserve">Quintero, E., J. Isla, and P. Jordano. 2022. </w:t>
      </w:r>
      <w:hyperlink r:id="rId47">
        <w:r w:rsidRPr="00C76FD3">
          <w:rPr>
            <w:rStyle w:val="Hyperlink"/>
            <w:rFonts w:ascii="Times New Roman" w:hAnsi="Times New Roman" w:cs="Times New Roman"/>
          </w:rPr>
          <w:t>Methodological overview and data-merging approaches in the study of plantfrugivore interactions</w:t>
        </w:r>
      </w:hyperlink>
      <w:r w:rsidRPr="00C76FD3">
        <w:rPr>
          <w:rFonts w:ascii="Times New Roman" w:hAnsi="Times New Roman" w:cs="Times New Roman"/>
        </w:rPr>
        <w:t>. Oikos 2022.</w:t>
      </w:r>
    </w:p>
    <w:p w14:paraId="107060E8" w14:textId="77777777" w:rsidR="00BB367E" w:rsidRPr="00C76FD3" w:rsidRDefault="00C76FD3" w:rsidP="00C76FD3">
      <w:pPr>
        <w:pStyle w:val="Bibliography"/>
        <w:spacing w:line="480" w:lineRule="auto"/>
        <w:rPr>
          <w:rFonts w:ascii="Times New Roman" w:hAnsi="Times New Roman" w:cs="Times New Roman"/>
        </w:rPr>
      </w:pPr>
      <w:bookmarkStart w:id="43" w:name="ref-ruedenauer2016"/>
      <w:bookmarkEnd w:id="42"/>
      <w:r w:rsidRPr="00C76FD3">
        <w:rPr>
          <w:rFonts w:ascii="Times New Roman" w:hAnsi="Times New Roman" w:cs="Times New Roman"/>
        </w:rPr>
        <w:t xml:space="preserve">Ruedenauer, F. A., J. Spaethe, and S. D. Leonhardt. 2016. </w:t>
      </w:r>
      <w:hyperlink r:id="rId48">
        <w:r w:rsidRPr="00C76FD3">
          <w:rPr>
            <w:rStyle w:val="Hyperlink"/>
            <w:rFonts w:ascii="Times New Roman" w:hAnsi="Times New Roman" w:cs="Times New Roman"/>
          </w:rPr>
          <w:t>Hungry for quality-individual bumblebees forage flexibly to collect high-quality pollen</w:t>
        </w:r>
      </w:hyperlink>
      <w:r w:rsidRPr="00C76FD3">
        <w:rPr>
          <w:rFonts w:ascii="Times New Roman" w:hAnsi="Times New Roman" w:cs="Times New Roman"/>
        </w:rPr>
        <w:t>. Behavioral Ecology and Sociobiology 70:1209–1217.</w:t>
      </w:r>
    </w:p>
    <w:p w14:paraId="42425A88" w14:textId="77777777" w:rsidR="00BB367E" w:rsidRPr="00C76FD3" w:rsidRDefault="00C76FD3" w:rsidP="00C76FD3">
      <w:pPr>
        <w:pStyle w:val="Bibliography"/>
        <w:spacing w:line="480" w:lineRule="auto"/>
        <w:rPr>
          <w:rFonts w:ascii="Times New Roman" w:hAnsi="Times New Roman" w:cs="Times New Roman"/>
        </w:rPr>
      </w:pPr>
      <w:bookmarkStart w:id="44" w:name="ref-saunders2018"/>
      <w:bookmarkEnd w:id="43"/>
      <w:r w:rsidRPr="00C76FD3">
        <w:rPr>
          <w:rFonts w:ascii="Times New Roman" w:hAnsi="Times New Roman" w:cs="Times New Roman"/>
        </w:rPr>
        <w:t xml:space="preserve">Saunders, M. E. 2018. </w:t>
      </w:r>
      <w:hyperlink r:id="rId49">
        <w:r w:rsidRPr="00C76FD3">
          <w:rPr>
            <w:rStyle w:val="Hyperlink"/>
            <w:rFonts w:ascii="Times New Roman" w:hAnsi="Times New Roman" w:cs="Times New Roman"/>
          </w:rPr>
          <w:t>Insect pollinators collect pollen from wind-pollinated plants: implications for pollination ecology and sustainable agriculture</w:t>
        </w:r>
      </w:hyperlink>
      <w:r w:rsidRPr="00C76FD3">
        <w:rPr>
          <w:rFonts w:ascii="Times New Roman" w:hAnsi="Times New Roman" w:cs="Times New Roman"/>
        </w:rPr>
        <w:t>. Insect Conservation and Diversity 11:13–31.</w:t>
      </w:r>
    </w:p>
    <w:p w14:paraId="0697DA5E" w14:textId="77777777" w:rsidR="00BB367E" w:rsidRPr="00C76FD3" w:rsidRDefault="00C76FD3" w:rsidP="00C76FD3">
      <w:pPr>
        <w:pStyle w:val="Bibliography"/>
        <w:spacing w:line="480" w:lineRule="auto"/>
        <w:rPr>
          <w:rFonts w:ascii="Times New Roman" w:hAnsi="Times New Roman" w:cs="Times New Roman"/>
        </w:rPr>
      </w:pPr>
      <w:bookmarkStart w:id="45" w:name="ref-selva2024"/>
      <w:bookmarkEnd w:id="44"/>
      <w:r w:rsidRPr="00C76FD3">
        <w:rPr>
          <w:rFonts w:ascii="Times New Roman" w:hAnsi="Times New Roman" w:cs="Times New Roman"/>
        </w:rPr>
        <w:lastRenderedPageBreak/>
        <w:t xml:space="preserve">Selva, S., M. Moretti, F. Ruedenauer, A. Keller, B. Fournier, S. D. Leonhardt, H. A. Eggenberger, and J. C. Abella. 2024. </w:t>
      </w:r>
      <w:hyperlink r:id="rId50">
        <w:r w:rsidRPr="00C76FD3">
          <w:rPr>
            <w:rStyle w:val="Hyperlink"/>
            <w:rFonts w:ascii="Times New Roman" w:hAnsi="Times New Roman" w:cs="Times New Roman"/>
          </w:rPr>
          <w:t>Urban bumblebees diversify their foraging strategy to maintain nutrient intake</w:t>
        </w:r>
      </w:hyperlink>
      <w:r w:rsidRPr="00C76FD3">
        <w:rPr>
          <w:rFonts w:ascii="Times New Roman" w:hAnsi="Times New Roman" w:cs="Times New Roman"/>
        </w:rPr>
        <w:t>.</w:t>
      </w:r>
    </w:p>
    <w:p w14:paraId="0AA0FC27" w14:textId="77777777" w:rsidR="00BB367E" w:rsidRPr="00C76FD3" w:rsidRDefault="00C76FD3" w:rsidP="00C76FD3">
      <w:pPr>
        <w:pStyle w:val="Bibliography"/>
        <w:spacing w:line="480" w:lineRule="auto"/>
        <w:rPr>
          <w:rFonts w:ascii="Times New Roman" w:hAnsi="Times New Roman" w:cs="Times New Roman"/>
        </w:rPr>
      </w:pPr>
      <w:bookmarkStart w:id="46" w:name="ref-shi2025"/>
      <w:bookmarkEnd w:id="45"/>
      <w:r w:rsidRPr="00C76FD3">
        <w:rPr>
          <w:rFonts w:ascii="Times New Roman" w:hAnsi="Times New Roman" w:cs="Times New Roman"/>
        </w:rPr>
        <w:t xml:space="preserve">Shi, H., S. Ratering, B. Schneider, and S. Schnell. 2025. </w:t>
      </w:r>
      <w:hyperlink r:id="rId51">
        <w:r w:rsidRPr="00C76FD3">
          <w:rPr>
            <w:rStyle w:val="Hyperlink"/>
            <w:rFonts w:ascii="Times New Roman" w:hAnsi="Times New Roman" w:cs="Times New Roman"/>
          </w:rPr>
          <w:t>Microbiome of honey bee corbicular pollen: Factors influencing its structure and potential for studying pathogen transmission</w:t>
        </w:r>
      </w:hyperlink>
      <w:r w:rsidRPr="00C76FD3">
        <w:rPr>
          <w:rFonts w:ascii="Times New Roman" w:hAnsi="Times New Roman" w:cs="Times New Roman"/>
        </w:rPr>
        <w:t>. Science of The Total Environment 958:178107.</w:t>
      </w:r>
    </w:p>
    <w:p w14:paraId="5CF619E4" w14:textId="77777777" w:rsidR="00BB367E" w:rsidRPr="00C76FD3" w:rsidRDefault="00C76FD3" w:rsidP="00C76FD3">
      <w:pPr>
        <w:pStyle w:val="Bibliography"/>
        <w:spacing w:line="480" w:lineRule="auto"/>
        <w:rPr>
          <w:rFonts w:ascii="Times New Roman" w:hAnsi="Times New Roman" w:cs="Times New Roman"/>
        </w:rPr>
      </w:pPr>
      <w:bookmarkStart w:id="47" w:name="ref-smart2017"/>
      <w:bookmarkEnd w:id="46"/>
      <w:r w:rsidRPr="00C76FD3">
        <w:rPr>
          <w:rFonts w:ascii="Times New Roman" w:hAnsi="Times New Roman" w:cs="Times New Roman"/>
        </w:rPr>
        <w:t xml:space="preserve">Smart, M. D., R. S. Cornman, D. D. Iwanowicz, M. McDermott-Kubeczko, J. S. Pettis, M. S. Spivak, and C. R. V. Otto. 2017. </w:t>
      </w:r>
      <w:hyperlink r:id="rId52">
        <w:r w:rsidRPr="00C76FD3">
          <w:rPr>
            <w:rStyle w:val="Hyperlink"/>
            <w:rFonts w:ascii="Times New Roman" w:hAnsi="Times New Roman" w:cs="Times New Roman"/>
          </w:rPr>
          <w:t>A comparison of honey bee-collected pollen from working agricultural lands using light microscopy and ITS metabarcoding</w:t>
        </w:r>
      </w:hyperlink>
      <w:r w:rsidRPr="00C76FD3">
        <w:rPr>
          <w:rFonts w:ascii="Times New Roman" w:hAnsi="Times New Roman" w:cs="Times New Roman"/>
        </w:rPr>
        <w:t>. Environmental Entomology 46:38–49.</w:t>
      </w:r>
    </w:p>
    <w:p w14:paraId="684C22BB" w14:textId="77777777" w:rsidR="00BB367E" w:rsidRPr="00C76FD3" w:rsidRDefault="00C76FD3" w:rsidP="00C76FD3">
      <w:pPr>
        <w:pStyle w:val="Bibliography"/>
        <w:spacing w:line="480" w:lineRule="auto"/>
        <w:rPr>
          <w:rFonts w:ascii="Times New Roman" w:hAnsi="Times New Roman" w:cs="Times New Roman"/>
        </w:rPr>
      </w:pPr>
      <w:bookmarkStart w:id="48" w:name="ref-tanaka2020"/>
      <w:bookmarkEnd w:id="47"/>
      <w:r w:rsidRPr="00C76FD3">
        <w:rPr>
          <w:rFonts w:ascii="Times New Roman" w:hAnsi="Times New Roman" w:cs="Times New Roman"/>
        </w:rPr>
        <w:t xml:space="preserve">Tanaka, K., A. Nozaki, H. Nakadai, Y. Shiwa, and M. Shimizu-Kadota. 2020. </w:t>
      </w:r>
      <w:hyperlink r:id="rId53">
        <w:r w:rsidRPr="00C76FD3">
          <w:rPr>
            <w:rStyle w:val="Hyperlink"/>
            <w:rFonts w:ascii="Times New Roman" w:hAnsi="Times New Roman" w:cs="Times New Roman"/>
          </w:rPr>
          <w:t>Using pollen DNA metabarcoding to profile nectar sources of urban beekeeping in Kōtō-ku, Tokyo</w:t>
        </w:r>
      </w:hyperlink>
      <w:r w:rsidRPr="00C76FD3">
        <w:rPr>
          <w:rFonts w:ascii="Times New Roman" w:hAnsi="Times New Roman" w:cs="Times New Roman"/>
        </w:rPr>
        <w:t>. BMC Research Notes 13:515.</w:t>
      </w:r>
    </w:p>
    <w:p w14:paraId="4BDD5725" w14:textId="77777777" w:rsidR="00BB367E" w:rsidRPr="00C76FD3" w:rsidRDefault="00C76FD3" w:rsidP="00C76FD3">
      <w:pPr>
        <w:pStyle w:val="Bibliography"/>
        <w:spacing w:line="480" w:lineRule="auto"/>
        <w:rPr>
          <w:rFonts w:ascii="Times New Roman" w:hAnsi="Times New Roman" w:cs="Times New Roman"/>
        </w:rPr>
      </w:pPr>
      <w:bookmarkStart w:id="49" w:name="ref-timberlake2024"/>
      <w:bookmarkEnd w:id="48"/>
      <w:r w:rsidRPr="00C76FD3">
        <w:rPr>
          <w:rFonts w:ascii="Times New Roman" w:hAnsi="Times New Roman" w:cs="Times New Roman"/>
        </w:rPr>
        <w:t xml:space="preserve">Timberlake, T. P., N. de Vere, L. E. Jones, I. P. Vaughan, M. Baude, and J. Memmott. 2024a. </w:t>
      </w:r>
      <w:hyperlink r:id="rId54">
        <w:r w:rsidRPr="00C76FD3">
          <w:rPr>
            <w:rStyle w:val="Hyperlink"/>
            <w:rFonts w:ascii="Times New Roman" w:hAnsi="Times New Roman" w:cs="Times New Roman"/>
          </w:rPr>
          <w:t>Ten-a-day: Bumblebee pollen loads reveal high consistency in foraging breadth among species, sites and seasons</w:t>
        </w:r>
      </w:hyperlink>
      <w:r w:rsidRPr="00C76FD3">
        <w:rPr>
          <w:rFonts w:ascii="Times New Roman" w:hAnsi="Times New Roman" w:cs="Times New Roman"/>
        </w:rPr>
        <w:t>. Ecological Solutions and Evidence 5:e12360.</w:t>
      </w:r>
    </w:p>
    <w:p w14:paraId="0564FFE9" w14:textId="77777777" w:rsidR="00BB367E" w:rsidRPr="00C76FD3" w:rsidRDefault="00C76FD3" w:rsidP="00C76FD3">
      <w:pPr>
        <w:pStyle w:val="Bibliography"/>
        <w:spacing w:line="480" w:lineRule="auto"/>
        <w:rPr>
          <w:rFonts w:ascii="Times New Roman" w:hAnsi="Times New Roman" w:cs="Times New Roman"/>
        </w:rPr>
      </w:pPr>
      <w:bookmarkStart w:id="50" w:name="ref-timberlake2024a"/>
      <w:bookmarkEnd w:id="49"/>
      <w:r w:rsidRPr="00C76FD3">
        <w:rPr>
          <w:rFonts w:ascii="Times New Roman" w:hAnsi="Times New Roman" w:cs="Times New Roman"/>
        </w:rPr>
        <w:t xml:space="preserve">Timberlake, T. P., N. E. Tew, and J. Memmott. 2024b. </w:t>
      </w:r>
      <w:hyperlink r:id="rId55">
        <w:r w:rsidRPr="00C76FD3">
          <w:rPr>
            <w:rStyle w:val="Hyperlink"/>
            <w:rFonts w:ascii="Times New Roman" w:hAnsi="Times New Roman" w:cs="Times New Roman"/>
          </w:rPr>
          <w:t>Gardens reduce seasonal hunger gaps for farmland pollinators</w:t>
        </w:r>
      </w:hyperlink>
      <w:r w:rsidRPr="00C76FD3">
        <w:rPr>
          <w:rFonts w:ascii="Times New Roman" w:hAnsi="Times New Roman" w:cs="Times New Roman"/>
        </w:rPr>
        <w:t>. Proceedings of the Royal Society B: Biological Sciences 291.</w:t>
      </w:r>
    </w:p>
    <w:p w14:paraId="0EBA3C7A" w14:textId="77777777" w:rsidR="00BB367E" w:rsidRPr="00C76FD3" w:rsidRDefault="00C76FD3" w:rsidP="00C76FD3">
      <w:pPr>
        <w:pStyle w:val="Bibliography"/>
        <w:spacing w:line="480" w:lineRule="auto"/>
        <w:rPr>
          <w:rFonts w:ascii="Times New Roman" w:hAnsi="Times New Roman" w:cs="Times New Roman"/>
        </w:rPr>
      </w:pPr>
      <w:bookmarkStart w:id="51" w:name="ref-vaudo2015"/>
      <w:bookmarkEnd w:id="50"/>
      <w:r w:rsidRPr="00C76FD3">
        <w:rPr>
          <w:rFonts w:ascii="Times New Roman" w:hAnsi="Times New Roman" w:cs="Times New Roman"/>
        </w:rPr>
        <w:t xml:space="preserve">Vaudo, A. D. 2015. </w:t>
      </w:r>
      <w:hyperlink r:id="rId56">
        <w:r w:rsidRPr="00C76FD3">
          <w:rPr>
            <w:rStyle w:val="Hyperlink"/>
            <w:rFonts w:ascii="Times New Roman" w:hAnsi="Times New Roman" w:cs="Times New Roman"/>
          </w:rPr>
          <w:t>Bee nutrition and floral resource restoration</w:t>
        </w:r>
      </w:hyperlink>
      <w:r w:rsidRPr="00C76FD3">
        <w:rPr>
          <w:rFonts w:ascii="Times New Roman" w:hAnsi="Times New Roman" w:cs="Times New Roman"/>
        </w:rPr>
        <w:t>. Current Opinion in Insect Science 10:133–141.</w:t>
      </w:r>
    </w:p>
    <w:p w14:paraId="19AEDBF4" w14:textId="77777777" w:rsidR="00BB367E" w:rsidRPr="00C76FD3" w:rsidRDefault="00C76FD3" w:rsidP="00C76FD3">
      <w:pPr>
        <w:pStyle w:val="Bibliography"/>
        <w:spacing w:line="480" w:lineRule="auto"/>
        <w:rPr>
          <w:rFonts w:ascii="Times New Roman" w:hAnsi="Times New Roman" w:cs="Times New Roman"/>
        </w:rPr>
      </w:pPr>
      <w:bookmarkStart w:id="52" w:name="ref-white1990"/>
      <w:bookmarkEnd w:id="51"/>
      <w:r w:rsidRPr="00C76FD3">
        <w:rPr>
          <w:rFonts w:ascii="Times New Roman" w:hAnsi="Times New Roman" w:cs="Times New Roman"/>
        </w:rPr>
        <w:lastRenderedPageBreak/>
        <w:t xml:space="preserve">White, T. J., T. D. Bruns, S. B. Lee, and J. W. Taylor. 1990. </w:t>
      </w:r>
      <w:hyperlink r:id="rId57">
        <w:r w:rsidRPr="00C76FD3">
          <w:rPr>
            <w:rStyle w:val="Hyperlink"/>
            <w:rFonts w:ascii="Times New Roman" w:hAnsi="Times New Roman" w:cs="Times New Roman"/>
          </w:rPr>
          <w:t>Amplification and direct sequencing of fungal ribosomal RNA Genes for phylogenetics</w:t>
        </w:r>
      </w:hyperlink>
      <w:r w:rsidRPr="00C76FD3">
        <w:rPr>
          <w:rFonts w:ascii="Times New Roman" w:hAnsi="Times New Roman" w:cs="Times New Roman"/>
        </w:rPr>
        <w:t>. Pages 315–322. First edition. Academic Press.</w:t>
      </w:r>
    </w:p>
    <w:p w14:paraId="6438EBFE" w14:textId="77777777" w:rsidR="00BB367E" w:rsidRPr="00C76FD3" w:rsidRDefault="00C76FD3" w:rsidP="00C76FD3">
      <w:pPr>
        <w:pStyle w:val="Bibliography"/>
        <w:spacing w:line="480" w:lineRule="auto"/>
        <w:rPr>
          <w:rFonts w:ascii="Times New Roman" w:hAnsi="Times New Roman" w:cs="Times New Roman"/>
        </w:rPr>
      </w:pPr>
      <w:bookmarkStart w:id="53" w:name="ref-wood2022"/>
      <w:bookmarkEnd w:id="52"/>
      <w:r w:rsidRPr="00C76FD3">
        <w:rPr>
          <w:rFonts w:ascii="Times New Roman" w:hAnsi="Times New Roman" w:cs="Times New Roman"/>
        </w:rPr>
        <w:t xml:space="preserve">Wood, T. J., M. Vanderplanck, M. Vastrade, A. D. Vaudo, and D. Michez. 2022. </w:t>
      </w:r>
      <w:hyperlink r:id="rId58">
        <w:r w:rsidRPr="00C76FD3">
          <w:rPr>
            <w:rStyle w:val="Hyperlink"/>
            <w:rFonts w:ascii="Times New Roman" w:hAnsi="Times New Roman" w:cs="Times New Roman"/>
          </w:rPr>
          <w:t>Trees for bees: could woody plant pollen be used as a consistent resource in bee-focused agri-environment schemes?</w:t>
        </w:r>
      </w:hyperlink>
      <w:r w:rsidRPr="00C76FD3">
        <w:rPr>
          <w:rFonts w:ascii="Times New Roman" w:hAnsi="Times New Roman" w:cs="Times New Roman"/>
        </w:rPr>
        <w:t xml:space="preserve"> Entomologia Generalis 42:361.</w:t>
      </w:r>
    </w:p>
    <w:bookmarkEnd w:id="2"/>
    <w:bookmarkEnd w:id="53"/>
    <w:p w14:paraId="76C24CA2"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i/>
          <w:iCs/>
        </w:rPr>
        <w:t>Figure captions</w:t>
      </w:r>
    </w:p>
    <w:p w14:paraId="1702C922"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Figure 1. Complementarity of methodologies for characterizing plant–pollinator interactions of </w:t>
      </w:r>
      <w:r w:rsidRPr="00C76FD3">
        <w:rPr>
          <w:rFonts w:ascii="Times New Roman" w:hAnsi="Times New Roman" w:cs="Times New Roman"/>
          <w:i/>
          <w:iCs/>
        </w:rPr>
        <w:t>Bombus pascuorum</w:t>
      </w:r>
      <w:r w:rsidRPr="00C76FD3">
        <w:rPr>
          <w:rFonts w:ascii="Times New Roman" w:hAnsi="Times New Roman" w:cs="Times New Roman"/>
        </w:rPr>
        <w:t>. (A) Total plant genus diversity and overlap detected by floral surveys, visitation observations, and metabarcoding of corbicular pollen and gut contents. (B) Temporal patterns in cumulative plant genus diversity across six sampling periods (April–August 2023) detected by visitation surveys and metabarcoding of gut contents and corbicular pollen. Values represent cumulative raw richness per methodology and period. (C) Differences in plant communities detected by each methodology and floral surveys, visualized using non-metric Multidimensional Scaling based on presence–absence data and Raup–Crick dissimilarity (stress = 0.17).</w:t>
      </w:r>
    </w:p>
    <w:p w14:paraId="60EACE94"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Figure 2. Specialization of </w:t>
      </w:r>
      <w:r w:rsidRPr="00C76FD3">
        <w:rPr>
          <w:rFonts w:ascii="Times New Roman" w:hAnsi="Times New Roman" w:cs="Times New Roman"/>
          <w:i/>
          <w:iCs/>
        </w:rPr>
        <w:t>Bombus pascuorum</w:t>
      </w:r>
      <w:r w:rsidRPr="00C76FD3">
        <w:rPr>
          <w:rFonts w:ascii="Times New Roman" w:hAnsi="Times New Roman" w:cs="Times New Roman"/>
        </w:rPr>
        <w:t xml:space="preserve"> across sampling periods estimated from visitation surveys, gut-content and corbicular pollen metabarcoding. Specialization was calculated as d’ (Blüthgen et al. 2006), where d’ = 1 indicates complete specialization.</w:t>
      </w:r>
    </w:p>
    <w:p w14:paraId="2B03EA92"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Figure 3. Plant importance within </w:t>
      </w:r>
      <w:r w:rsidRPr="00C76FD3">
        <w:rPr>
          <w:rFonts w:ascii="Times New Roman" w:hAnsi="Times New Roman" w:cs="Times New Roman"/>
          <w:i/>
          <w:iCs/>
        </w:rPr>
        <w:t>Bombus pascuorum</w:t>
      </w:r>
      <w:r w:rsidRPr="00C76FD3">
        <w:rPr>
          <w:rFonts w:ascii="Times New Roman" w:hAnsi="Times New Roman" w:cs="Times New Roman"/>
        </w:rPr>
        <w:t xml:space="preserve"> interaction networks based on (A) visitation surveys, (B) gut-content metabarcoding, and (C) corbicular pollen metabarcoding. </w:t>
      </w:r>
      <w:r w:rsidRPr="00C76FD3">
        <w:rPr>
          <w:rFonts w:ascii="Times New Roman" w:hAnsi="Times New Roman" w:cs="Times New Roman"/>
        </w:rPr>
        <w:lastRenderedPageBreak/>
        <w:t>Importance represents the proportion of interactions involving each plant genus. Block size and color indicate relative importance within each methodology.</w:t>
      </w:r>
    </w:p>
    <w:p w14:paraId="504A9E9B" w14:textId="655A6F0E" w:rsidR="00BB367E" w:rsidRDefault="00C76FD3" w:rsidP="00C76FD3">
      <w:pPr>
        <w:pStyle w:val="BodyText"/>
        <w:spacing w:line="480" w:lineRule="auto"/>
        <w:rPr>
          <w:rFonts w:ascii="Times New Roman" w:hAnsi="Times New Roman" w:cs="Times New Roman"/>
        </w:rPr>
      </w:pPr>
      <w:r w:rsidRPr="00C76FD3">
        <w:rPr>
          <w:rFonts w:ascii="Times New Roman" w:hAnsi="Times New Roman" w:cs="Times New Roman"/>
        </w:rPr>
        <w:t xml:space="preserve">Figure 4. Combined interaction network for </w:t>
      </w:r>
      <w:r w:rsidRPr="00C76FD3">
        <w:rPr>
          <w:rFonts w:ascii="Times New Roman" w:hAnsi="Times New Roman" w:cs="Times New Roman"/>
          <w:i/>
          <w:iCs/>
        </w:rPr>
        <w:t>Bombus pascuorum</w:t>
      </w:r>
      <w:r w:rsidRPr="00C76FD3">
        <w:rPr>
          <w:rFonts w:ascii="Times New Roman" w:hAnsi="Times New Roman" w:cs="Times New Roman"/>
        </w:rPr>
        <w:t xml:space="preserve"> integrating visitation (visitation), corbicular pollen metabarcoding (transport), and gut-content metabarcoding (consumption). The network includes 170 plant genera, with links indicating the presence of each interaction type.</w:t>
      </w:r>
    </w:p>
    <w:p w14:paraId="59635236" w14:textId="417A3E21" w:rsidR="00C76FD3" w:rsidRDefault="00C76FD3" w:rsidP="00C76FD3">
      <w:pPr>
        <w:pStyle w:val="BodyText"/>
        <w:spacing w:line="480" w:lineRule="auto"/>
        <w:rPr>
          <w:rFonts w:ascii="Times New Roman" w:hAnsi="Times New Roman" w:cs="Times New Roman"/>
        </w:rPr>
      </w:pPr>
    </w:p>
    <w:p w14:paraId="09AE3D86" w14:textId="6F1A7C7E" w:rsidR="00C76FD3" w:rsidRDefault="00C76FD3" w:rsidP="00C76FD3">
      <w:pPr>
        <w:pStyle w:val="BodyText"/>
        <w:spacing w:line="480" w:lineRule="auto"/>
        <w:rPr>
          <w:rFonts w:ascii="Times New Roman" w:hAnsi="Times New Roman" w:cs="Times New Roman"/>
        </w:rPr>
      </w:pPr>
    </w:p>
    <w:p w14:paraId="6626F060" w14:textId="5717A6E1" w:rsidR="00C76FD3" w:rsidRDefault="00C76FD3" w:rsidP="00C76FD3">
      <w:pPr>
        <w:pStyle w:val="BodyText"/>
        <w:spacing w:line="480" w:lineRule="auto"/>
        <w:rPr>
          <w:rFonts w:ascii="Times New Roman" w:hAnsi="Times New Roman" w:cs="Times New Roman"/>
        </w:rPr>
      </w:pPr>
    </w:p>
    <w:p w14:paraId="4169E5DF" w14:textId="1FF6D076" w:rsidR="00C76FD3" w:rsidRDefault="00C76FD3" w:rsidP="00C76FD3">
      <w:pPr>
        <w:pStyle w:val="BodyText"/>
        <w:spacing w:line="480" w:lineRule="auto"/>
        <w:rPr>
          <w:rFonts w:ascii="Times New Roman" w:hAnsi="Times New Roman" w:cs="Times New Roman"/>
        </w:rPr>
      </w:pPr>
    </w:p>
    <w:p w14:paraId="5AA7FE08" w14:textId="77777777" w:rsidR="00C76FD3" w:rsidRDefault="00C76FD3" w:rsidP="00C76FD3">
      <w:pPr>
        <w:pStyle w:val="BodyText"/>
        <w:spacing w:line="480" w:lineRule="auto"/>
        <w:rPr>
          <w:rFonts w:ascii="Times New Roman" w:hAnsi="Times New Roman" w:cs="Times New Roman"/>
        </w:rPr>
      </w:pPr>
    </w:p>
    <w:p w14:paraId="0F852AAD" w14:textId="77777777" w:rsidR="00C76FD3" w:rsidRPr="00C76FD3" w:rsidRDefault="00C76FD3" w:rsidP="00C76FD3">
      <w:pPr>
        <w:pStyle w:val="BodyText"/>
        <w:spacing w:line="480" w:lineRule="auto"/>
        <w:rPr>
          <w:rFonts w:ascii="Times New Roman" w:hAnsi="Times New Roman" w:cs="Times New Roman"/>
        </w:rPr>
      </w:pPr>
    </w:p>
    <w:p w14:paraId="59B389A8" w14:textId="77777777" w:rsidR="00BB367E" w:rsidRPr="00C76FD3" w:rsidRDefault="00C76FD3" w:rsidP="00C76FD3">
      <w:pPr>
        <w:pStyle w:val="BodyText"/>
        <w:spacing w:line="480" w:lineRule="auto"/>
        <w:jc w:val="center"/>
        <w:rPr>
          <w:rFonts w:ascii="Times New Roman" w:hAnsi="Times New Roman" w:cs="Times New Roman"/>
        </w:rPr>
      </w:pPr>
      <w:r w:rsidRPr="00C76FD3">
        <w:rPr>
          <w:rFonts w:ascii="Times New Roman" w:hAnsi="Times New Roman" w:cs="Times New Roman"/>
          <w:noProof/>
        </w:rPr>
        <w:lastRenderedPageBreak/>
        <w:drawing>
          <wp:inline distT="0" distB="0" distL="0" distR="0" wp14:anchorId="3DD99C91" wp14:editId="3376589B">
            <wp:extent cx="4114800" cy="31527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manuscript_figures/upset.figure.png"/>
                    <pic:cNvPicPr>
                      <a:picLocks noChangeAspect="1" noChangeArrowheads="1"/>
                    </pic:cNvPicPr>
                  </pic:nvPicPr>
                  <pic:blipFill>
                    <a:blip r:embed="rId59"/>
                    <a:stretch>
                      <a:fillRect/>
                    </a:stretch>
                  </pic:blipFill>
                  <pic:spPr bwMode="auto">
                    <a:xfrm>
                      <a:off x="0" y="0"/>
                      <a:ext cx="4115425" cy="3153254"/>
                    </a:xfrm>
                    <a:prstGeom prst="rect">
                      <a:avLst/>
                    </a:prstGeom>
                    <a:noFill/>
                    <a:ln w="9525">
                      <a:noFill/>
                      <a:headEnd/>
                      <a:tailEnd/>
                    </a:ln>
                  </pic:spPr>
                </pic:pic>
              </a:graphicData>
            </a:graphic>
          </wp:inline>
        </w:drawing>
      </w:r>
    </w:p>
    <w:p w14:paraId="57B4DAB4"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noProof/>
        </w:rPr>
        <w:drawing>
          <wp:inline distT="0" distB="0" distL="0" distR="0" wp14:anchorId="31A1FCCE" wp14:editId="2E6C2641">
            <wp:extent cx="5334000" cy="3188662"/>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anuscript_figures/fig1_b_c.png"/>
                    <pic:cNvPicPr>
                      <a:picLocks noChangeAspect="1" noChangeArrowheads="1"/>
                    </pic:cNvPicPr>
                  </pic:nvPicPr>
                  <pic:blipFill>
                    <a:blip r:embed="rId60"/>
                    <a:stretch>
                      <a:fillRect/>
                    </a:stretch>
                  </pic:blipFill>
                  <pic:spPr bwMode="auto">
                    <a:xfrm>
                      <a:off x="0" y="0"/>
                      <a:ext cx="5334000" cy="3188662"/>
                    </a:xfrm>
                    <a:prstGeom prst="rect">
                      <a:avLst/>
                    </a:prstGeom>
                    <a:noFill/>
                    <a:ln w="9525">
                      <a:noFill/>
                      <a:headEnd/>
                      <a:tailEnd/>
                    </a:ln>
                  </pic:spPr>
                </pic:pic>
              </a:graphicData>
            </a:graphic>
          </wp:inline>
        </w:drawing>
      </w:r>
    </w:p>
    <w:p w14:paraId="50372214" w14:textId="669D1CE8"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Figure 1</w:t>
      </w:r>
      <w:r>
        <w:rPr>
          <w:rFonts w:ascii="Times New Roman" w:hAnsi="Times New Roman" w:cs="Times New Roman"/>
          <w:b/>
          <w:bCs/>
        </w:rPr>
        <w:t>.</w:t>
      </w:r>
    </w:p>
    <w:p w14:paraId="6E23285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noProof/>
        </w:rPr>
        <w:lastRenderedPageBreak/>
        <w:drawing>
          <wp:inline distT="0" distB="0" distL="0" distR="0" wp14:anchorId="06046708" wp14:editId="40238F1A">
            <wp:extent cx="4600575" cy="2371725"/>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manuscript_figures/fig.dprime.png"/>
                    <pic:cNvPicPr>
                      <a:picLocks noChangeAspect="1" noChangeArrowheads="1"/>
                    </pic:cNvPicPr>
                  </pic:nvPicPr>
                  <pic:blipFill>
                    <a:blip r:embed="rId61"/>
                    <a:stretch>
                      <a:fillRect/>
                    </a:stretch>
                  </pic:blipFill>
                  <pic:spPr bwMode="auto">
                    <a:xfrm>
                      <a:off x="0" y="0"/>
                      <a:ext cx="4601091" cy="2371991"/>
                    </a:xfrm>
                    <a:prstGeom prst="rect">
                      <a:avLst/>
                    </a:prstGeom>
                    <a:noFill/>
                    <a:ln w="9525">
                      <a:noFill/>
                      <a:headEnd/>
                      <a:tailEnd/>
                    </a:ln>
                  </pic:spPr>
                </pic:pic>
              </a:graphicData>
            </a:graphic>
          </wp:inline>
        </w:drawing>
      </w:r>
    </w:p>
    <w:p w14:paraId="55CE771A" w14:textId="4287361B" w:rsidR="00BB367E" w:rsidRDefault="00C76FD3" w:rsidP="00C76FD3">
      <w:pPr>
        <w:pStyle w:val="BodyText"/>
        <w:spacing w:line="480" w:lineRule="auto"/>
        <w:rPr>
          <w:rFonts w:ascii="Times New Roman" w:hAnsi="Times New Roman" w:cs="Times New Roman"/>
          <w:b/>
          <w:bCs/>
        </w:rPr>
      </w:pPr>
      <w:r w:rsidRPr="00C76FD3">
        <w:rPr>
          <w:rFonts w:ascii="Times New Roman" w:hAnsi="Times New Roman" w:cs="Times New Roman"/>
          <w:b/>
          <w:bCs/>
        </w:rPr>
        <w:t>Figure 2</w:t>
      </w:r>
    </w:p>
    <w:p w14:paraId="58337FFA" w14:textId="306045BA" w:rsidR="00C76FD3" w:rsidRDefault="00C76FD3" w:rsidP="00C76FD3">
      <w:pPr>
        <w:pStyle w:val="BodyText"/>
        <w:spacing w:line="480" w:lineRule="auto"/>
        <w:rPr>
          <w:rFonts w:ascii="Times New Roman" w:hAnsi="Times New Roman" w:cs="Times New Roman"/>
          <w:b/>
          <w:bCs/>
        </w:rPr>
      </w:pPr>
    </w:p>
    <w:p w14:paraId="785FB4C0" w14:textId="2A64073B" w:rsidR="00C76FD3" w:rsidRDefault="00C76FD3" w:rsidP="00C76FD3">
      <w:pPr>
        <w:pStyle w:val="BodyText"/>
        <w:spacing w:line="480" w:lineRule="auto"/>
        <w:rPr>
          <w:rFonts w:ascii="Times New Roman" w:hAnsi="Times New Roman" w:cs="Times New Roman"/>
          <w:b/>
          <w:bCs/>
        </w:rPr>
      </w:pPr>
    </w:p>
    <w:p w14:paraId="5A763B26" w14:textId="747E88C3" w:rsidR="00C76FD3" w:rsidRDefault="00C76FD3" w:rsidP="00C76FD3">
      <w:pPr>
        <w:pStyle w:val="BodyText"/>
        <w:spacing w:line="480" w:lineRule="auto"/>
        <w:rPr>
          <w:rFonts w:ascii="Times New Roman" w:hAnsi="Times New Roman" w:cs="Times New Roman"/>
          <w:b/>
          <w:bCs/>
        </w:rPr>
      </w:pPr>
    </w:p>
    <w:p w14:paraId="35519774" w14:textId="5AF8EA62" w:rsidR="00C76FD3" w:rsidRDefault="00C76FD3" w:rsidP="00C76FD3">
      <w:pPr>
        <w:pStyle w:val="BodyText"/>
        <w:spacing w:line="480" w:lineRule="auto"/>
        <w:rPr>
          <w:rFonts w:ascii="Times New Roman" w:hAnsi="Times New Roman" w:cs="Times New Roman"/>
          <w:b/>
          <w:bCs/>
        </w:rPr>
      </w:pPr>
    </w:p>
    <w:p w14:paraId="1A44A3B8" w14:textId="6234450B" w:rsidR="00C76FD3" w:rsidRDefault="00C76FD3" w:rsidP="00C76FD3">
      <w:pPr>
        <w:pStyle w:val="BodyText"/>
        <w:spacing w:line="480" w:lineRule="auto"/>
        <w:rPr>
          <w:rFonts w:ascii="Times New Roman" w:hAnsi="Times New Roman" w:cs="Times New Roman"/>
          <w:b/>
          <w:bCs/>
        </w:rPr>
      </w:pPr>
    </w:p>
    <w:p w14:paraId="0A49A25F" w14:textId="214592DC" w:rsidR="00C76FD3" w:rsidRDefault="00C76FD3" w:rsidP="00C76FD3">
      <w:pPr>
        <w:pStyle w:val="BodyText"/>
        <w:spacing w:line="480" w:lineRule="auto"/>
        <w:rPr>
          <w:rFonts w:ascii="Times New Roman" w:hAnsi="Times New Roman" w:cs="Times New Roman"/>
          <w:b/>
          <w:bCs/>
        </w:rPr>
      </w:pPr>
    </w:p>
    <w:p w14:paraId="051FC7E9" w14:textId="06F0B110" w:rsidR="00C76FD3" w:rsidRDefault="00C76FD3" w:rsidP="00C76FD3">
      <w:pPr>
        <w:pStyle w:val="BodyText"/>
        <w:spacing w:line="480" w:lineRule="auto"/>
        <w:rPr>
          <w:rFonts w:ascii="Times New Roman" w:hAnsi="Times New Roman" w:cs="Times New Roman"/>
          <w:b/>
          <w:bCs/>
        </w:rPr>
      </w:pPr>
    </w:p>
    <w:p w14:paraId="5AC558E0" w14:textId="77777777" w:rsidR="00C76FD3" w:rsidRPr="00C76FD3" w:rsidRDefault="00C76FD3" w:rsidP="00C76FD3">
      <w:pPr>
        <w:pStyle w:val="BodyText"/>
        <w:spacing w:line="480" w:lineRule="auto"/>
        <w:rPr>
          <w:rFonts w:ascii="Times New Roman" w:hAnsi="Times New Roman" w:cs="Times New Roman"/>
        </w:rPr>
      </w:pPr>
    </w:p>
    <w:p w14:paraId="6CBC0BF7"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noProof/>
        </w:rPr>
        <w:lastRenderedPageBreak/>
        <w:drawing>
          <wp:inline distT="0" distB="0" distL="0" distR="0" wp14:anchorId="4F8188A8" wp14:editId="37646B46">
            <wp:extent cx="5334000" cy="2305843"/>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interaction_methodologies_files/figure-docx/unnamed-chunk-5-1.png"/>
                    <pic:cNvPicPr>
                      <a:picLocks noChangeAspect="1" noChangeArrowheads="1"/>
                    </pic:cNvPicPr>
                  </pic:nvPicPr>
                  <pic:blipFill>
                    <a:blip r:embed="rId62"/>
                    <a:stretch>
                      <a:fillRect/>
                    </a:stretch>
                  </pic:blipFill>
                  <pic:spPr bwMode="auto">
                    <a:xfrm>
                      <a:off x="0" y="0"/>
                      <a:ext cx="5334000" cy="2305843"/>
                    </a:xfrm>
                    <a:prstGeom prst="rect">
                      <a:avLst/>
                    </a:prstGeom>
                    <a:noFill/>
                    <a:ln w="9525">
                      <a:noFill/>
                      <a:headEnd/>
                      <a:tailEnd/>
                    </a:ln>
                  </pic:spPr>
                </pic:pic>
              </a:graphicData>
            </a:graphic>
          </wp:inline>
        </w:drawing>
      </w:r>
    </w:p>
    <w:p w14:paraId="0523F5AD"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noProof/>
        </w:rPr>
        <w:drawing>
          <wp:inline distT="0" distB="0" distL="0" distR="0" wp14:anchorId="227438E5" wp14:editId="5FB76236">
            <wp:extent cx="5334000" cy="2305843"/>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interaction_methodologies_files/figure-docx/unnamed-chunk-5-2.png"/>
                    <pic:cNvPicPr>
                      <a:picLocks noChangeAspect="1" noChangeArrowheads="1"/>
                    </pic:cNvPicPr>
                  </pic:nvPicPr>
                  <pic:blipFill>
                    <a:blip r:embed="rId63"/>
                    <a:stretch>
                      <a:fillRect/>
                    </a:stretch>
                  </pic:blipFill>
                  <pic:spPr bwMode="auto">
                    <a:xfrm>
                      <a:off x="0" y="0"/>
                      <a:ext cx="5334000" cy="2305843"/>
                    </a:xfrm>
                    <a:prstGeom prst="rect">
                      <a:avLst/>
                    </a:prstGeom>
                    <a:noFill/>
                    <a:ln w="9525">
                      <a:noFill/>
                      <a:headEnd/>
                      <a:tailEnd/>
                    </a:ln>
                  </pic:spPr>
                </pic:pic>
              </a:graphicData>
            </a:graphic>
          </wp:inline>
        </w:drawing>
      </w:r>
    </w:p>
    <w:p w14:paraId="4F949389"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noProof/>
        </w:rPr>
        <w:drawing>
          <wp:inline distT="0" distB="0" distL="0" distR="0" wp14:anchorId="193F943A" wp14:editId="37262A0C">
            <wp:extent cx="5334000" cy="2305843"/>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interaction_methodologies_files/figure-docx/unnamed-chunk-5-3.png"/>
                    <pic:cNvPicPr>
                      <a:picLocks noChangeAspect="1" noChangeArrowheads="1"/>
                    </pic:cNvPicPr>
                  </pic:nvPicPr>
                  <pic:blipFill>
                    <a:blip r:embed="rId64"/>
                    <a:stretch>
                      <a:fillRect/>
                    </a:stretch>
                  </pic:blipFill>
                  <pic:spPr bwMode="auto">
                    <a:xfrm>
                      <a:off x="0" y="0"/>
                      <a:ext cx="5334000" cy="2305843"/>
                    </a:xfrm>
                    <a:prstGeom prst="rect">
                      <a:avLst/>
                    </a:prstGeom>
                    <a:noFill/>
                    <a:ln w="9525">
                      <a:noFill/>
                      <a:headEnd/>
                      <a:tailEnd/>
                    </a:ln>
                  </pic:spPr>
                </pic:pic>
              </a:graphicData>
            </a:graphic>
          </wp:inline>
        </w:drawing>
      </w:r>
    </w:p>
    <w:p w14:paraId="11ECD6A0"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Figure 3</w:t>
      </w:r>
    </w:p>
    <w:p w14:paraId="45F26229"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noProof/>
        </w:rPr>
        <w:lastRenderedPageBreak/>
        <w:drawing>
          <wp:inline distT="0" distB="0" distL="0" distR="0" wp14:anchorId="4E27D1F2" wp14:editId="68AE049B">
            <wp:extent cx="5334000" cy="4994309"/>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manuscript_figures/THE_GBP_composite_network.jpg"/>
                    <pic:cNvPicPr>
                      <a:picLocks noChangeAspect="1" noChangeArrowheads="1"/>
                    </pic:cNvPicPr>
                  </pic:nvPicPr>
                  <pic:blipFill>
                    <a:blip r:embed="rId65"/>
                    <a:stretch>
                      <a:fillRect/>
                    </a:stretch>
                  </pic:blipFill>
                  <pic:spPr bwMode="auto">
                    <a:xfrm>
                      <a:off x="0" y="0"/>
                      <a:ext cx="5334000" cy="4994309"/>
                    </a:xfrm>
                    <a:prstGeom prst="rect">
                      <a:avLst/>
                    </a:prstGeom>
                    <a:noFill/>
                    <a:ln w="9525">
                      <a:noFill/>
                      <a:headEnd/>
                      <a:tailEnd/>
                    </a:ln>
                  </pic:spPr>
                </pic:pic>
              </a:graphicData>
            </a:graphic>
          </wp:inline>
        </w:drawing>
      </w:r>
    </w:p>
    <w:p w14:paraId="7EAC94E9" w14:textId="77777777" w:rsidR="00BB367E" w:rsidRPr="00C76FD3" w:rsidRDefault="00C76FD3" w:rsidP="00C76FD3">
      <w:pPr>
        <w:pStyle w:val="BodyText"/>
        <w:spacing w:line="480" w:lineRule="auto"/>
        <w:rPr>
          <w:rFonts w:ascii="Times New Roman" w:hAnsi="Times New Roman" w:cs="Times New Roman"/>
        </w:rPr>
      </w:pPr>
      <w:r w:rsidRPr="00C76FD3">
        <w:rPr>
          <w:rFonts w:ascii="Times New Roman" w:hAnsi="Times New Roman" w:cs="Times New Roman"/>
          <w:b/>
          <w:bCs/>
        </w:rPr>
        <w:t>Figure 4</w:t>
      </w:r>
      <w:bookmarkEnd w:id="0"/>
    </w:p>
    <w:sectPr w:rsidR="00BB367E" w:rsidRPr="00C76FD3" w:rsidSect="00C76FD3">
      <w:footerReference w:type="default" r:id="rId66"/>
      <w:footnotePr>
        <w:numRestart w:val="eachSect"/>
      </w:footnotePr>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9EAA25" w14:textId="77777777" w:rsidR="0047503E" w:rsidRDefault="0047503E" w:rsidP="00EC4F2E">
      <w:pPr>
        <w:spacing w:after="0"/>
      </w:pPr>
      <w:r>
        <w:separator/>
      </w:r>
    </w:p>
  </w:endnote>
  <w:endnote w:type="continuationSeparator" w:id="0">
    <w:p w14:paraId="64A5B222" w14:textId="77777777" w:rsidR="0047503E" w:rsidRDefault="0047503E" w:rsidP="00EC4F2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1327070"/>
      <w:docPartObj>
        <w:docPartGallery w:val="Page Numbers (Bottom of Page)"/>
        <w:docPartUnique/>
      </w:docPartObj>
    </w:sdtPr>
    <w:sdtContent>
      <w:p w14:paraId="7C0D0DCE" w14:textId="36726617" w:rsidR="00EC4F2E" w:rsidRDefault="00EC4F2E">
        <w:pPr>
          <w:pStyle w:val="Footer"/>
          <w:jc w:val="right"/>
        </w:pPr>
        <w:r>
          <w:fldChar w:fldCharType="begin"/>
        </w:r>
        <w:r>
          <w:instrText>PAGE   \* MERGEFORMAT</w:instrText>
        </w:r>
        <w:r>
          <w:fldChar w:fldCharType="separate"/>
        </w:r>
        <w:r>
          <w:rPr>
            <w:lang w:val="en-GB"/>
          </w:rPr>
          <w:t>2</w:t>
        </w:r>
        <w:r>
          <w:fldChar w:fldCharType="end"/>
        </w:r>
      </w:p>
    </w:sdtContent>
  </w:sdt>
  <w:p w14:paraId="27DDFD1B" w14:textId="77777777" w:rsidR="00EC4F2E" w:rsidRDefault="00EC4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AF4F08" w14:textId="77777777" w:rsidR="0047503E" w:rsidRDefault="0047503E" w:rsidP="00EC4F2E">
      <w:pPr>
        <w:spacing w:after="0"/>
      </w:pPr>
      <w:r>
        <w:separator/>
      </w:r>
    </w:p>
  </w:footnote>
  <w:footnote w:type="continuationSeparator" w:id="0">
    <w:p w14:paraId="1C04821A" w14:textId="77777777" w:rsidR="0047503E" w:rsidRDefault="0047503E" w:rsidP="00EC4F2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32A5F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B367E"/>
    <w:rsid w:val="001C61AE"/>
    <w:rsid w:val="0047503E"/>
    <w:rsid w:val="00BB367E"/>
    <w:rsid w:val="00C76FD3"/>
    <w:rsid w:val="00D82701"/>
    <w:rsid w:val="00EC4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C905F"/>
  <w15:docId w15:val="{9A3F089A-2F10-42DB-8E3D-C759CAC82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C76FD3"/>
  </w:style>
  <w:style w:type="paragraph" w:styleId="Header">
    <w:name w:val="header"/>
    <w:basedOn w:val="Normal"/>
    <w:link w:val="HeaderChar"/>
    <w:unhideWhenUsed/>
    <w:rsid w:val="00EC4F2E"/>
    <w:pPr>
      <w:tabs>
        <w:tab w:val="center" w:pos="4680"/>
        <w:tab w:val="right" w:pos="9360"/>
      </w:tabs>
      <w:spacing w:after="0"/>
    </w:pPr>
  </w:style>
  <w:style w:type="character" w:customStyle="1" w:styleId="HeaderChar">
    <w:name w:val="Header Char"/>
    <w:basedOn w:val="DefaultParagraphFont"/>
    <w:link w:val="Header"/>
    <w:rsid w:val="00EC4F2E"/>
  </w:style>
  <w:style w:type="paragraph" w:styleId="Footer">
    <w:name w:val="footer"/>
    <w:basedOn w:val="Normal"/>
    <w:link w:val="FooterChar"/>
    <w:uiPriority w:val="99"/>
    <w:unhideWhenUsed/>
    <w:rsid w:val="00EC4F2E"/>
    <w:pPr>
      <w:tabs>
        <w:tab w:val="center" w:pos="4680"/>
        <w:tab w:val="right" w:pos="9360"/>
      </w:tabs>
      <w:spacing w:after="0"/>
    </w:pPr>
  </w:style>
  <w:style w:type="character" w:customStyle="1" w:styleId="FooterChar">
    <w:name w:val="Footer Char"/>
    <w:basedOn w:val="DefaultParagraphFont"/>
    <w:link w:val="Footer"/>
    <w:uiPriority w:val="99"/>
    <w:rsid w:val="00EC4F2E"/>
  </w:style>
  <w:style w:type="paragraph" w:styleId="NormalWeb">
    <w:name w:val="Normal (Web)"/>
    <w:basedOn w:val="Normal"/>
    <w:uiPriority w:val="99"/>
    <w:unhideWhenUsed/>
    <w:rsid w:val="001C61AE"/>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151557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cois.2020.01.005" TargetMode="External"/><Relationship Id="rId21" Type="http://schemas.openxmlformats.org/officeDocument/2006/relationships/hyperlink" Target="https://doi.org/10.1038/srep42838" TargetMode="External"/><Relationship Id="rId34" Type="http://schemas.openxmlformats.org/officeDocument/2006/relationships/hyperlink" Target="https://doi.org/10.1038/s41598-023-42102-4" TargetMode="External"/><Relationship Id="rId42" Type="http://schemas.openxmlformats.org/officeDocument/2006/relationships/hyperlink" Target="https://doi.org/10.1371/journal.pone.0132491" TargetMode="External"/><Relationship Id="rId47" Type="http://schemas.openxmlformats.org/officeDocument/2006/relationships/hyperlink" Target="https://doi.org/10.1111/oik.08379" TargetMode="External"/><Relationship Id="rId50" Type="http://schemas.openxmlformats.org/officeDocument/2006/relationships/hyperlink" Target="https://ecoevorxiv.org/repository/view/7812/" TargetMode="External"/><Relationship Id="rId55" Type="http://schemas.openxmlformats.org/officeDocument/2006/relationships/hyperlink" Target="https://doi.org/10.1098/rspb.2024.1523" TargetMode="External"/><Relationship Id="rId63" Type="http://schemas.openxmlformats.org/officeDocument/2006/relationships/image" Target="media/image5.png"/><Relationship Id="rId68" Type="http://schemas.openxmlformats.org/officeDocument/2006/relationships/theme" Target="theme/theme1.xml"/><Relationship Id="rId7" Type="http://schemas.openxmlformats.org/officeDocument/2006/relationships/hyperlink" Target="https://anonymous.4open.science/r/B_pascuorum_interaction_networks" TargetMode="External"/><Relationship Id="rId2" Type="http://schemas.openxmlformats.org/officeDocument/2006/relationships/styles" Target="styles.xml"/><Relationship Id="rId16" Type="http://schemas.openxmlformats.org/officeDocument/2006/relationships/hyperlink" Target="https://doi.org/10.1111/j.1461-0248.2009.01296.x" TargetMode="External"/><Relationship Id="rId29" Type="http://schemas.openxmlformats.org/officeDocument/2006/relationships/hyperlink" Target="https://doi.org/10.1007/s10905-025-09893-y" TargetMode="External"/><Relationship Id="rId11" Type="http://schemas.openxmlformats.org/officeDocument/2006/relationships/hyperlink" Target="https://doi.org/10.3389/fevo.2022.735588" TargetMode="External"/><Relationship Id="rId24" Type="http://schemas.openxmlformats.org/officeDocument/2006/relationships/hyperlink" Target="https://doi.org/10.1016/j.pecon.2023.03.003" TargetMode="External"/><Relationship Id="rId32" Type="http://schemas.openxmlformats.org/officeDocument/2006/relationships/hyperlink" Target="https://doi.org/10.1007/s13592-011-0112-y" TargetMode="External"/><Relationship Id="rId37" Type="http://schemas.openxmlformats.org/officeDocument/2006/relationships/hyperlink" Target="https://doi.org/10.3390/d14040236" TargetMode="External"/><Relationship Id="rId40" Type="http://schemas.openxmlformats.org/officeDocument/2006/relationships/hyperlink" Target="https://doi.org/10.1002/2688-8319.12120" TargetMode="External"/><Relationship Id="rId45" Type="http://schemas.openxmlformats.org/officeDocument/2006/relationships/hyperlink" Target="https://doi.org/10.1111/j.1442-9993.2012.02377.x" TargetMode="External"/><Relationship Id="rId53" Type="http://schemas.openxmlformats.org/officeDocument/2006/relationships/hyperlink" Target="https://doi.org/10.1186/s13104-020-05361-2" TargetMode="External"/><Relationship Id="rId58" Type="http://schemas.openxmlformats.org/officeDocument/2006/relationships/hyperlink" Target="https://doi.org/10.1127/entomologia/2021/1241" TargetMode="External"/><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3.png"/><Relationship Id="rId19" Type="http://schemas.openxmlformats.org/officeDocument/2006/relationships/hyperlink" Target="https://doi.org/10.1371/journal.pone.0008613" TargetMode="External"/><Relationship Id="rId14" Type="http://schemas.openxmlformats.org/officeDocument/2006/relationships/hyperlink" Target="https://doi.org/10.1139/gen-2015-0200" TargetMode="External"/><Relationship Id="rId22" Type="http://schemas.openxmlformats.org/officeDocument/2006/relationships/hyperlink" Target="https://doi.org/10.1002/aps3.11601" TargetMode="External"/><Relationship Id="rId27" Type="http://schemas.openxmlformats.org/officeDocument/2006/relationships/hyperlink" Target="https://doi.org/10.1007/s00248-022-02027-3" TargetMode="External"/><Relationship Id="rId30" Type="http://schemas.openxmlformats.org/officeDocument/2006/relationships/hyperlink" Target="https://doi.org/10.1098/rspb.2006.3721" TargetMode="External"/><Relationship Id="rId35" Type="http://schemas.openxmlformats.org/officeDocument/2006/relationships/hyperlink" Target="https://doi.org/10.1111/1744-7917.70051" TargetMode="External"/><Relationship Id="rId43" Type="http://schemas.openxmlformats.org/officeDocument/2006/relationships/hyperlink" Target="https://CRAN.R-project.org/package=vegan" TargetMode="External"/><Relationship Id="rId48" Type="http://schemas.openxmlformats.org/officeDocument/2006/relationships/hyperlink" Target="https://doi.org/10.1007/s00265-016-2129-8" TargetMode="External"/><Relationship Id="rId56" Type="http://schemas.openxmlformats.org/officeDocument/2006/relationships/hyperlink" Target="https://doi.org/10.1016/j.cois.2015.05.008" TargetMode="External"/><Relationship Id="rId64" Type="http://schemas.openxmlformats.org/officeDocument/2006/relationships/image" Target="media/image6.png"/><Relationship Id="rId8" Type="http://schemas.openxmlformats.org/officeDocument/2006/relationships/hyperlink" Target="https://doi.org/10.1093/molbev/msv174" TargetMode="External"/><Relationship Id="rId51" Type="http://schemas.openxmlformats.org/officeDocument/2006/relationships/hyperlink" Target="https://doi.org/10.1016/j.scitotenv.2024.178107" TargetMode="External"/><Relationship Id="rId3" Type="http://schemas.openxmlformats.org/officeDocument/2006/relationships/settings" Target="settings.xml"/><Relationship Id="rId12" Type="http://schemas.openxmlformats.org/officeDocument/2006/relationships/hyperlink" Target="https://doi.org/10.1111/icad.12736" TargetMode="External"/><Relationship Id="rId17" Type="http://schemas.openxmlformats.org/officeDocument/2006/relationships/hyperlink" Target="https://doi.org/10.3732/ajb.1000391" TargetMode="External"/><Relationship Id="rId25" Type="http://schemas.openxmlformats.org/officeDocument/2006/relationships/hyperlink" Target="https://doi.org/10.1111/1755-0998.13937" TargetMode="External"/><Relationship Id="rId33" Type="http://schemas.openxmlformats.org/officeDocument/2006/relationships/hyperlink" Target="https://doi.org/10.1038/s41598-021-97619-3" TargetMode="External"/><Relationship Id="rId38" Type="http://schemas.openxmlformats.org/officeDocument/2006/relationships/hyperlink" Target="https://doi.org/10.1002/ece3.7605" TargetMode="External"/><Relationship Id="rId46" Type="http://schemas.openxmlformats.org/officeDocument/2006/relationships/hyperlink" Target="https://doi.org/10.1038/s41598-017-16785-5" TargetMode="External"/><Relationship Id="rId59" Type="http://schemas.openxmlformats.org/officeDocument/2006/relationships/image" Target="media/image1.png"/><Relationship Id="rId67" Type="http://schemas.openxmlformats.org/officeDocument/2006/relationships/fontTable" Target="fontTable.xml"/><Relationship Id="rId20" Type="http://schemas.openxmlformats.org/officeDocument/2006/relationships/hyperlink" Target="https://doi.org/10.1186/s40168-018-0605-2" TargetMode="External"/><Relationship Id="rId41" Type="http://schemas.openxmlformats.org/officeDocument/2006/relationships/hyperlink" Target="https://doi.org/10.1111/oik.09265" TargetMode="External"/><Relationship Id="rId54" Type="http://schemas.openxmlformats.org/officeDocument/2006/relationships/hyperlink" Target="https://doi.org/10.1002/2688-8319.12360" TargetMode="External"/><Relationship Id="rId62"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86/1472-6785-6-9" TargetMode="External"/><Relationship Id="rId23" Type="http://schemas.openxmlformats.org/officeDocument/2006/relationships/hyperlink" Target="https://doi.org/10.1111/1462-2920.16159" TargetMode="External"/><Relationship Id="rId28" Type="http://schemas.openxmlformats.org/officeDocument/2006/relationships/hyperlink" Target="https://doi.org/10.15470/R7IFMA" TargetMode="External"/><Relationship Id="rId36" Type="http://schemas.openxmlformats.org/officeDocument/2006/relationships/hyperlink" Target="https://doi.org/10.1080/03014223.2024.2353285" TargetMode="External"/><Relationship Id="rId49" Type="http://schemas.openxmlformats.org/officeDocument/2006/relationships/hyperlink" Target="https://doi.org/10.1111/icad.12243" TargetMode="External"/><Relationship Id="rId57"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10" Type="http://schemas.openxmlformats.org/officeDocument/2006/relationships/hyperlink" Target="https://doi.org/10.1038/s41559-024-02595-2" TargetMode="External"/><Relationship Id="rId31" Type="http://schemas.openxmlformats.org/officeDocument/2006/relationships/hyperlink" Target="https://doi.org/10.1155/2018/9607246" TargetMode="External"/><Relationship Id="rId44" Type="http://schemas.openxmlformats.org/officeDocument/2006/relationships/hyperlink" Target="https://doi.org/10.1126/science.aay0496" TargetMode="External"/><Relationship Id="rId52" Type="http://schemas.openxmlformats.org/officeDocument/2006/relationships/hyperlink" Target="https://doi.org/10.1093/ee/nvw159" TargetMode="External"/><Relationship Id="rId60" Type="http://schemas.openxmlformats.org/officeDocument/2006/relationships/image" Target="media/image2.png"/><Relationship Id="rId65" Type="http://schemas.openxmlformats.org/officeDocument/2006/relationships/image" Target="media/image7.jpg"/><Relationship Id="rId4" Type="http://schemas.openxmlformats.org/officeDocument/2006/relationships/webSettings" Target="webSettings.xml"/><Relationship Id="rId9" Type="http://schemas.openxmlformats.org/officeDocument/2006/relationships/hyperlink" Target="https://doi.org/10.1111/mec.16112" TargetMode="External"/><Relationship Id="rId13" Type="http://schemas.openxmlformats.org/officeDocument/2006/relationships/hyperlink" Target="https://doi.org/10.6084/M9.FIGSHARE.14936004.V1" TargetMode="External"/><Relationship Id="rId18" Type="http://schemas.openxmlformats.org/officeDocument/2006/relationships/hyperlink" Target="https://doi.org/10.1038/nmeth.3869" TargetMode="External"/><Relationship Id="rId39" Type="http://schemas.openxmlformats.org/officeDocument/2006/relationships/hyperlink" Target="http://dx.plos.org/10.1371/journal.pone.00612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30</Pages>
  <Words>7232</Words>
  <Characters>41227</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3</cp:revision>
  <dcterms:created xsi:type="dcterms:W3CDTF">2026-02-19T16:17:00Z</dcterms:created>
  <dcterms:modified xsi:type="dcterms:W3CDTF">2026-02-20T10:57:00Z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ecology.csl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