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Microbiome_baseline</w:t>
      </w:r>
    </w:p>
    <w:bookmarkStart w:id="20" w:name="abstract"/>
    <w:p>
      <w:pPr>
        <w:pStyle w:val="Heading2"/>
      </w:pPr>
      <w:r>
        <w:t xml:space="preserve">Abstract</w:t>
      </w:r>
    </w:p>
    <w:p>
      <w:pPr>
        <w:pStyle w:val="FirstParagraph"/>
      </w:pPr>
      <w:r>
        <w:t xml:space="preserve">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Pr>
          <w:i/>
          <w:iCs/>
        </w:rPr>
        <w:t xml:space="preserve">Bombus pascuorum</w:t>
      </w:r>
      <w:r>
        <w:t xml:space="preserve">)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bookmarkEnd w:id="20"/>
    <w:bookmarkStart w:id="21" w:name="introduction"/>
    <w:p>
      <w:pPr>
        <w:pStyle w:val="Heading2"/>
      </w:pPr>
      <w:r>
        <w:t xml:space="preserve">Introduction</w:t>
      </w:r>
    </w:p>
    <w:p>
      <w:pPr>
        <w:pStyle w:val="FirstParagraph"/>
      </w:pPr>
      <w:r>
        <w:t xml:space="preserve">Pollinators play a critical role in the functioning of both natural and agricultural systems worldwide, facilitating the reproduction of &gt;85% of flowering plants</w:t>
      </w:r>
      <w:r>
        <w:t xml:space="preserve"> </w:t>
      </w:r>
      <w:r>
        <w:t xml:space="preserve">(Ollerton, Winfree, and Tarrant 2011)</w:t>
      </w:r>
      <w:r>
        <w:t xml:space="preserve"> </w:t>
      </w:r>
      <w:r>
        <w:t xml:space="preserve">and contributing to the production of &gt;75% of global food crops</w:t>
      </w:r>
      <w:r>
        <w:t xml:space="preserve"> </w:t>
      </w:r>
      <w:r>
        <w:t xml:space="preserve">(Klein et al. 2006)</w:t>
      </w:r>
      <w:r>
        <w:t xml:space="preserve">. However, pollinators are increasingly at risk due to multiple global change drivers, something that has been recently defined as</w:t>
      </w:r>
      <w:r>
        <w:t xml:space="preserve"> </w:t>
      </w:r>
      <w:r>
        <w:t xml:space="preserve">“</w:t>
      </w:r>
      <w:r>
        <w:rPr>
          <w:i/>
          <w:iCs/>
        </w:rPr>
        <w:t xml:space="preserve">death by a thousand cuts</w:t>
      </w:r>
      <w:r>
        <w:t xml:space="preserve">”</w:t>
      </w:r>
      <w:r>
        <w:t xml:space="preserve"> </w:t>
      </w:r>
      <w:r>
        <w:t xml:space="preserve">(Wagner et al. 2021)</w:t>
      </w:r>
      <w:r>
        <w:t xml:space="preserve">. Climate change, with its impacts on temperature and precipitation patterns, disrupts pollinator behaviors and/or morphologies</w:t>
      </w:r>
      <w:r>
        <w:t xml:space="preserve"> </w:t>
      </w:r>
      <w:r>
        <w:t xml:space="preserve">(Miller-Struttmann et al. 2015)</w:t>
      </w:r>
      <w:r>
        <w:t xml:space="preserve"> </w:t>
      </w:r>
      <w:r>
        <w:t xml:space="preserve">leading to plant-pollinator mismatches</w:t>
      </w:r>
      <w:r>
        <w:t xml:space="preserve"> </w:t>
      </w:r>
      <w:r>
        <w:t xml:space="preserve">(Gérard et al. 2020)</w:t>
      </w:r>
      <w:r>
        <w:t xml:space="preserve">. Habitat loss and fragmentation lead to a reduction in pollinator populations</w:t>
      </w:r>
      <w:r>
        <w:t xml:space="preserve"> </w:t>
      </w:r>
      <w:r>
        <w:t xml:space="preserve">(Winfree et al. 2009)</w:t>
      </w:r>
      <w:r>
        <w:t xml:space="preserve">, while the widespread use of pesticides introduce additional stresses</w:t>
      </w:r>
      <w:r>
        <w:t xml:space="preserve"> </w:t>
      </w:r>
      <w:r>
        <w:t xml:space="preserve">(Guzman et al. 2024)</w:t>
      </w:r>
      <w:r>
        <w:t xml:space="preserve">. These factors, compounded by the spread of diseases</w:t>
      </w:r>
      <w:r>
        <w:t xml:space="preserve"> </w:t>
      </w:r>
      <w:r>
        <w:t xml:space="preserve">(Manley, Boots, and Wilfert 2015)</w:t>
      </w:r>
      <w:r>
        <w:t xml:space="preserve"> </w:t>
      </w:r>
      <w:r>
        <w:t xml:space="preserve">and the increasing presence of invasive species</w:t>
      </w:r>
      <w:r>
        <w:t xml:space="preserve"> </w:t>
      </w:r>
      <w:r>
        <w:t xml:space="preserve">(Vanbergen, Espíndola, and Aizen 2017)</w:t>
      </w:r>
      <w:r>
        <w:t xml:space="preserve">, threaten the survival of pollinator populations, leading to cascading effects on ecosystems and human food systems</w:t>
      </w:r>
      <w:r>
        <w:t xml:space="preserve"> </w:t>
      </w:r>
      <w:r>
        <w:t xml:space="preserve">(Devkota et al. 2024; Murphy et al. 2022)</w:t>
      </w:r>
      <w:r>
        <w:t xml:space="preserve">.</w:t>
      </w:r>
    </w:p>
    <w:p>
      <w:pPr>
        <w:pStyle w:val="BodyText"/>
      </w:pPr>
      <w:r>
        <w:t xml:space="preserve">A relatively unexplored yet crucial aspect of pollinator populations is their microbiome</w:t>
      </w:r>
      <w:r>
        <w:t xml:space="preserve"> </w:t>
      </w:r>
      <w:r>
        <w:t xml:space="preserve">(Shah et al. 2024)</w:t>
      </w:r>
      <w:r>
        <w:t xml:space="preserve">, the community of microorganisms living within and on them. The microbiome can significantly impact the health, physiology</w:t>
      </w:r>
      <w:r>
        <w:t xml:space="preserve"> </w:t>
      </w:r>
      <w:r>
        <w:t xml:space="preserve">(Engel and Moran 2013)</w:t>
      </w:r>
      <w:r>
        <w:t xml:space="preserve">, development, and survival</w:t>
      </w:r>
      <w:r>
        <w:t xml:space="preserve"> </w:t>
      </w:r>
      <w:r>
        <w:t xml:space="preserve">(Ferguson et al. 2018)</w:t>
      </w:r>
      <w:r>
        <w:t xml:space="preserve"> </w:t>
      </w:r>
      <w:r>
        <w:t xml:space="preserve">of organisms, influencing digestion, immune function, and disease resistance. In insect pollinators, the gut microbiome plays a vital role in nutrient absorption</w:t>
      </w:r>
      <w:r>
        <w:t xml:space="preserve"> </w:t>
      </w:r>
      <w:r>
        <w:t xml:space="preserve">(Zheng et al. 2017, 2019)</w:t>
      </w:r>
      <w:r>
        <w:t xml:space="preserve">, detoxification of harmful substances</w:t>
      </w:r>
      <w:r>
        <w:t xml:space="preserve"> </w:t>
      </w:r>
      <w:r>
        <w:t xml:space="preserve">(Engel, Martinson, and Moran 2012)</w:t>
      </w:r>
      <w:r>
        <w:t xml:space="preserve">, and protection against pathogens</w:t>
      </w:r>
      <w:r>
        <w:t xml:space="preserve"> </w:t>
      </w:r>
      <w:r>
        <w:t xml:space="preserve">(Steele et al. 2021; Koch and Schmid-Hempel 2011)</w:t>
      </w:r>
      <w:r>
        <w:t xml:space="preserve">. Disruptions to the microbiome, whether through environmental changes, pesticide exposure, or other stressors, can compromise these essential functions and lead to increased vulnerability and mortality</w:t>
      </w:r>
      <w:r>
        <w:t xml:space="preserve"> </w:t>
      </w:r>
      <w:r>
        <w:t xml:space="preserve">(Maes et al. 2016)</w:t>
      </w:r>
      <w:r>
        <w:t xml:space="preserve">. Understanding the composition and functionality of microbiomes is therefore critical, not only for gaining insights into the biology and ecology of pollinator species but also for developing strategies to mitigate the adverse effects of global change drivers.</w:t>
      </w:r>
    </w:p>
    <w:p>
      <w:pPr>
        <w:pStyle w:val="BodyText"/>
      </w:pPr>
      <w:r>
        <w:t xml:space="preserve">Most research on pollinator microbiomes has focused on managed species, like honeybees</w:t>
      </w:r>
      <w:r>
        <w:t xml:space="preserve"> </w:t>
      </w:r>
      <w:r>
        <w:t xml:space="preserve">(Engel, Martinson, and Moran 2012)</w:t>
      </w:r>
      <w:r>
        <w:t xml:space="preserve"> </w:t>
      </w:r>
      <w:r>
        <w:t xml:space="preserve">and certain bumblebee species</w:t>
      </w:r>
      <w:r>
        <w:t xml:space="preserve"> </w:t>
      </w:r>
      <w:r>
        <w:t xml:space="preserve">(Weinhold, Grüner, and Keller 2024)</w:t>
      </w:r>
      <w:r>
        <w:t xml:space="preserve">, providing valuable insights into their gut microbial communities and how these microorganisms influence their health and productivity. However, our understanding of the microbiomes of other pollinator species, and particularly of wild species, remains limited (although see</w:t>
      </w:r>
      <w:r>
        <w:t xml:space="preserve"> </w:t>
      </w:r>
      <w:r>
        <w:t xml:space="preserve">(Li et al. 2023)</w:t>
      </w:r>
      <w:r>
        <w:t xml:space="preserve"> </w:t>
      </w:r>
      <w:r>
        <w:t xml:space="preserve">for a focus on other species). We know even less about how these microbiomes change over time or how different environmental factors shape them. 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pPr>
        <w:pStyle w:val="BodyText"/>
      </w:pPr>
      <w:r>
        <w:t xml:space="preserve">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t xml:space="preserve"> </w:t>
      </w:r>
      <w:r>
        <w:t xml:space="preserve">(Risely 2020; Neu, Allen, and Roy 2021)</w:t>
      </w:r>
      <w:r>
        <w:t xml:space="preserve">. This core microbiome consists of around five genera in the case of honeybees</w:t>
      </w:r>
      <w:r>
        <w:t xml:space="preserve"> </w:t>
      </w:r>
      <w:r>
        <w:t xml:space="preserve">(Carlini et al. 2024)</w:t>
      </w:r>
      <w:r>
        <w:t xml:space="preserve"> </w:t>
      </w:r>
      <w:r>
        <w:t xml:space="preserve">and is mostly vertically-transmitted within the hive</w:t>
      </w:r>
      <w:r>
        <w:t xml:space="preserve"> </w:t>
      </w:r>
      <w:r>
        <w:t xml:space="preserve">(MARTINSON et al. 2010)</w:t>
      </w:r>
      <w:r>
        <w:t xml:space="preserve">. In addition to this core microbiome, pollinators also acquire microbes from their environment, particularly through their diet</w:t>
      </w:r>
      <w:r>
        <w:t xml:space="preserve"> </w:t>
      </w:r>
      <w:r>
        <w:t xml:space="preserve">(Ludvigsen et al. 2015)</w:t>
      </w:r>
      <w:r>
        <w:t xml:space="preserve">, which can include nectar, pollen, and other floral resources. These acquired microorganisms can introduce new functions and adaptations but also make pollinators susceptible to environmental changes and stressors, which raises the need to understand the relationship between landscape composition (e.g., floral diversity) and microbiome composition.</w:t>
      </w:r>
    </w:p>
    <w:p>
      <w:pPr>
        <w:pStyle w:val="BodyText"/>
      </w:pPr>
      <w:r>
        <w:t xml:space="preserve">Here, we focus on understanding the microbiome composition and dynamics of a wild pollinator species, the common carder bee (</w:t>
      </w:r>
      <w:r>
        <w:rPr>
          <w:i/>
          <w:iCs/>
        </w:rPr>
        <w:t xml:space="preserve">Bombus pascuorum</w:t>
      </w:r>
      <w: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w:t>
      </w:r>
      <w:r>
        <w:t xml:space="preserve"> </w:t>
      </w:r>
      <w:r>
        <w:rPr>
          <w:i/>
          <w:iCs/>
        </w:rPr>
        <w:t xml:space="preserve">B. pascuorum</w:t>
      </w:r>
      <w:r>
        <w:t xml:space="preserve"> </w:t>
      </w:r>
      <w:r>
        <w:t xml:space="preserve">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bookmarkEnd w:id="21"/>
    <w:bookmarkStart w:id="22" w:name="methods"/>
    <w:p>
      <w:pPr>
        <w:pStyle w:val="Heading2"/>
      </w:pPr>
      <w:r>
        <w:t xml:space="preserve">Methods</w:t>
      </w:r>
    </w:p>
    <w:p>
      <w:pPr>
        <w:pStyle w:val="FirstParagraph"/>
      </w:pPr>
      <w:r>
        <w:t xml:space="preserve">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w:t>
      </w:r>
      <w:r>
        <w:t xml:space="preserve"> </w:t>
      </w:r>
      <w:r>
        <w:t xml:space="preserve">(Pizarro, Hernangómez, and Fernández-Avilés 2021)</w:t>
      </w:r>
      <w:r>
        <w:t xml:space="preserve">. The area’s vegetation includes beech forests mixed with extensive conifer plantations. Additionally, there is a notable presence of shrubland and meadows, particularly in the rockier, steeper regions of the mountain</w:t>
      </w:r>
      <w:r>
        <w:t xml:space="preserve"> </w:t>
      </w:r>
      <w:r>
        <w:t xml:space="preserve">(Albizu et al. 2002)</w:t>
      </w:r>
      <w:r>
        <w:t xml:space="preserve">.</w:t>
      </w:r>
    </w:p>
    <w:p>
      <w:pPr>
        <w:pStyle w:val="BodyText"/>
      </w:pPr>
      <w: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w:t>
      </w:r>
      <w:r>
        <w:t xml:space="preserve"> </w:t>
      </w:r>
      <w:r>
        <w:rPr>
          <w:i/>
          <w:iCs/>
        </w:rPr>
        <w:t xml:space="preserve">B. pascuorum</w:t>
      </w:r>
      <w:r>
        <w:t xml:space="preserve"> </w:t>
      </w:r>
      <w:r>
        <w:t xml:space="preserve">individuals per day, although this was not always possible. All collected individuals were labeled and stored independently in 50 ml vials at -20ºC until processed in the laboratory. For each bumblebee specimen we measured the inter-tegular distance as a measure of body size</w:t>
      </w:r>
      <w:r>
        <w:t xml:space="preserve"> </w:t>
      </w:r>
      <w:r>
        <w:t xml:space="preserve">(Stemet et al. 2024)</w:t>
      </w:r>
      <w:r>
        <w:t xml:space="preserve">. We then extracted 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pPr>
        <w:pStyle w:val="BodyText"/>
      </w:pPr>
      <w:r>
        <w:t xml:space="preserve">To avoid site and period vias all samples were randomized using a randomizer program before the DNA extraction, creating a new individual code for each sample.</w:t>
      </w:r>
    </w:p>
    <w:p>
      <w:pPr>
        <w:pStyle w:val="BodyText"/>
      </w:pPr>
      <w:r>
        <w:rPr>
          <w:i/>
          <w:iCs/>
        </w:rPr>
        <w:t xml:space="preserve">DNA Extraction and PCR Amplification</w:t>
      </w:r>
    </w:p>
    <w:p>
      <w:pPr>
        <w:pStyle w:val="BodyText"/>
      </w:pPr>
      <w: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 g for 2 minutes to eliminate foam. Next, 150 µL of Buffer SL3 were added to each sample, vortexed for 5 seconds, and incubated on ice at 0-4ºC for 5 minutes, followed by centrifugation at 11,000 × g for 1 minute. The lysate was filtered using a square-well block and the NucleoSpin® Inhibitor Removal Plate. 550 µL of the clear supernatant was loaded into each well, and the plates were centrifuged at 2,250 × g for 13 minutes. The NucleoSpin® Inhibitor Removal Plate was discarded, and 250 µL of Buffer SB was added to the flow-through, mixed by pipetting. To bind the DNA, 725 µL of sample was transferred to a NucleoSpin® Soil Binding Plate and centrifuged at 2,250 × g for 13 minutes. The flow-through was discarded. DNA was washed in four steps: (1) 500 µL of Buffer SB, centrifuged at 2,250 × g for 13 minutes; (2) 550 µL of Buffer SW1, centrifuged at 2,250 × g for 5 minutes; (3) 700 µL of Buffer SW2, centrifuged at 2,250 × g for 5 minutes; (4) 700 µL of Buffer SW2, centrifuged at 2,250 × g for 13 minutes. After washing, the plate was incubated at 37ºC for 20 minutes to dry the silica membrane. DNA was eluted by adding 100 µL of Buffer SE to each well, incubating for 1 minute, and centrifuging at 2,250 × g for 5 minutes. A total of 132 samples were obtained, with each sample labeled accordingly. Nanodrop tests were performed on random samples to confirm successful DNA extraction.</w:t>
      </w:r>
    </w:p>
    <w:p>
      <w:pPr>
        <w:pStyle w:val="BodyText"/>
      </w:pPr>
      <w:r>
        <w:rPr>
          <w:i/>
          <w:iCs/>
        </w:rPr>
        <w:t xml:space="preserve">PCR Amplification</w:t>
      </w:r>
    </w:p>
    <w:p>
      <w:pPr>
        <w:pStyle w:val="BodyText"/>
      </w:pPr>
      <w:r>
        <w:t xml:space="preserve">DNA amplification was assessed using two-step PCR. Step 1 PCRs were performed for bacterial, plant, and fungal genetic material, with identical reagent volumes for all samples, differing only in the primers used (Table xxx).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amplification success was confirmed via 2% agarose gel electrophoresis between Step 1 and Step 2 PCRs to verify amplicon size.</w:t>
      </w:r>
    </w:p>
    <w:p>
      <w:pPr>
        <w:pStyle w:val="BodyText"/>
      </w:pPr>
      <w:r>
        <w:rPr>
          <w:i/>
          <w:iCs/>
        </w:rPr>
        <w:t xml:space="preserve">Statistical analyses</w:t>
      </w:r>
    </w:p>
    <w:p>
      <w:pPr>
        <w:pStyle w:val="BodyText"/>
      </w:pPr>
      <w:r>
        <w:t xml:space="preserve">To evaluate the completeness of our surveys, we used the iNEXT package</w:t>
      </w:r>
      <w:r>
        <w:t xml:space="preserve"> </w:t>
      </w:r>
      <w:r>
        <w:t xml:space="preserve">(Hsieh, Ma, and Chao 2024)</w:t>
      </w:r>
      <w:r>
        <w:t xml:space="preserve">, which provides robust estimates of species diversity and sampling coverage based on sample-size- and coverage-based rarefaction and extrapolation. We compared the observed sample coverage with the estimated asymptotic coverage to quantify the fraction of the community captured by our sampling efforts.</w:t>
      </w:r>
    </w:p>
    <w:bookmarkEnd w:id="22"/>
    <w:bookmarkStart w:id="23" w:name="results"/>
    <w:p>
      <w:pPr>
        <w:pStyle w:val="Heading2"/>
      </w:pPr>
      <w:r>
        <w:t xml:space="preserve">Results</w:t>
      </w:r>
    </w:p>
    <w:p>
      <w:pPr>
        <w:pStyle w:val="FirstParagraph"/>
      </w:pPr>
      <w:r>
        <w:t xml:space="preserve">During the 2023 season, we collected a total of 132 bumblebee specimens.</w:t>
      </w:r>
    </w:p>
    <w:bookmarkEnd w:id="23"/>
    <w:bookmarkStart w:id="24" w:name="discussion"/>
    <w:p>
      <w:pPr>
        <w:pStyle w:val="Heading2"/>
      </w:pPr>
      <w:r>
        <w:t xml:space="preserve">Discussion</w:t>
      </w:r>
    </w:p>
    <w:bookmarkEnd w:id="24"/>
    <w:bookmarkStart w:id="87" w:name="references"/>
    <w:p>
      <w:pPr>
        <w:pStyle w:val="Heading2"/>
      </w:pPr>
      <w:r>
        <w:t xml:space="preserve">References</w:t>
      </w:r>
    </w:p>
    <w:bookmarkStart w:id="86" w:name="refs"/>
    <w:bookmarkStart w:id="25" w:name="ref-Albizu2002COMPARACINDL"/>
    <w:p>
      <w:pPr>
        <w:pStyle w:val="Bibliography"/>
      </w:pPr>
      <w:r>
        <w:t xml:space="preserve">Albizu, Ibis, Gerardo Besga, Carlos Garbisu, S. Mendarte, Ibone Amezaga, Iker Mijangos, and Miren Onaindía. 2002.</w:t>
      </w:r>
      <w:r>
        <w:t xml:space="preserve"> </w:t>
      </w:r>
      <w:r>
        <w:t xml:space="preserve">“COMPARACI</w:t>
      </w:r>
      <w:r>
        <w:t xml:space="preserve">Ó</w:t>
      </w:r>
      <w:r>
        <w:t xml:space="preserve">n DE LA ALTURA y UNIDADES DEL MEDIDOR DE PLACA COMO ESTIMADORES DE LA BIOMASA EN LOS PASTOS DE MONTA</w:t>
      </w:r>
      <w:r>
        <w:t xml:space="preserve">Ñ</w:t>
      </w:r>
      <w:r>
        <w:t xml:space="preserve">a DEL</w:t>
      </w:r>
      <w:r>
        <w:t xml:space="preserve"> </w:t>
      </w:r>
      <w:r>
        <w:t xml:space="preserve">Á</w:t>
      </w:r>
      <w:r>
        <w:t xml:space="preserve">REA DE GORBEIA (BIZKAIA).”</w:t>
      </w:r>
      <w:r>
        <w:t xml:space="preserve"> </w:t>
      </w:r>
      <w:r>
        <w:t xml:space="preserve">In.</w:t>
      </w:r>
    </w:p>
    <w:bookmarkEnd w:id="25"/>
    <w:bookmarkStart w:id="27" w:name="ref-carlini2024"/>
    <w:p>
      <w:pPr>
        <w:pStyle w:val="Bibliography"/>
      </w:pPr>
      <w:r>
        <w:t xml:space="preserve">Carlini, David B., Sundre K. Winslow, Katja Cloppenborg-Schmidt, and John F. Baines. 2024.</w:t>
      </w:r>
      <w:r>
        <w:t xml:space="preserve"> </w:t>
      </w:r>
      <w:r>
        <w:t xml:space="preserve">“Quantitative Microbiome Profiling of Honey Bee (Apis Mellifera) Guts Is Predictive of Winter Colony Loss in Northern Virginia (USA).”</w:t>
      </w:r>
      <w:r>
        <w:t xml:space="preserve"> </w:t>
      </w:r>
      <w:r>
        <w:rPr>
          <w:i/>
          <w:iCs/>
        </w:rPr>
        <w:t xml:space="preserve">Scientific Reports</w:t>
      </w:r>
      <w:r>
        <w:t xml:space="preserve"> </w:t>
      </w:r>
      <w:r>
        <w:t xml:space="preserve">14 (1).</w:t>
      </w:r>
      <w:r>
        <w:t xml:space="preserve"> </w:t>
      </w:r>
      <w:hyperlink r:id="rId26">
        <w:r>
          <w:rPr>
            <w:rStyle w:val="Hyperlink"/>
          </w:rPr>
          <w:t xml:space="preserve">https://doi.org/10.1038/s41598-024-61199-9</w:t>
        </w:r>
      </w:hyperlink>
      <w:r>
        <w:t xml:space="preserve">.</w:t>
      </w:r>
    </w:p>
    <w:bookmarkEnd w:id="27"/>
    <w:bookmarkStart w:id="29" w:name="ref-devkota2024"/>
    <w:p>
      <w:pPr>
        <w:pStyle w:val="Bibliography"/>
      </w:pPr>
      <w:r>
        <w:t xml:space="preserve">Devkota, Kedar, Alice B. Ferreira, Thomas P. Timberlake, and Charles F. dos Santos. 2024.</w:t>
      </w:r>
      <w:r>
        <w:t xml:space="preserve"> </w:t>
      </w:r>
      <w:r>
        <w:t xml:space="preserve">“The Impact of Pollinator Decline on Global Protein Production: Implications for Livestock and Plant-Based Products.”</w:t>
      </w:r>
      <w:r>
        <w:t xml:space="preserve"> </w:t>
      </w:r>
      <w:r>
        <w:rPr>
          <w:i/>
          <w:iCs/>
        </w:rPr>
        <w:t xml:space="preserve">Global Ecology and Conservation</w:t>
      </w:r>
      <w:r>
        <w:t xml:space="preserve"> </w:t>
      </w:r>
      <w:r>
        <w:t xml:space="preserve">50 (April): e02815.</w:t>
      </w:r>
      <w:r>
        <w:t xml:space="preserve"> </w:t>
      </w:r>
      <w:hyperlink r:id="rId28">
        <w:r>
          <w:rPr>
            <w:rStyle w:val="Hyperlink"/>
          </w:rPr>
          <w:t xml:space="preserve">https://doi.org/10.1016/j.gecco.2024.e02815</w:t>
        </w:r>
      </w:hyperlink>
      <w:r>
        <w:t xml:space="preserve">.</w:t>
      </w:r>
    </w:p>
    <w:bookmarkEnd w:id="29"/>
    <w:bookmarkStart w:id="31" w:name="ref-engel2012"/>
    <w:p>
      <w:pPr>
        <w:pStyle w:val="Bibliography"/>
      </w:pPr>
      <w:r>
        <w:t xml:space="preserve">Engel, Philipp, Vincent G. Martinson, and Nancy A. Moran. 2012.</w:t>
      </w:r>
      <w:r>
        <w:t xml:space="preserve"> </w:t>
      </w:r>
      <w:r>
        <w:t xml:space="preserve">“Functional Diversity Within the Simple Gut Microbiota of the Honey Bee.”</w:t>
      </w:r>
      <w:r>
        <w:t xml:space="preserve"> </w:t>
      </w:r>
      <w:r>
        <w:rPr>
          <w:i/>
          <w:iCs/>
        </w:rPr>
        <w:t xml:space="preserve">Proceedings of the National Academy of Sciences</w:t>
      </w:r>
      <w:r>
        <w:t xml:space="preserve"> </w:t>
      </w:r>
      <w:r>
        <w:t xml:space="preserve">109 (27): 11002–7.</w:t>
      </w:r>
      <w:r>
        <w:t xml:space="preserve"> </w:t>
      </w:r>
      <w:hyperlink r:id="rId30">
        <w:r>
          <w:rPr>
            <w:rStyle w:val="Hyperlink"/>
          </w:rPr>
          <w:t xml:space="preserve">https://doi.org/10.1073/pnas.1202970109</w:t>
        </w:r>
      </w:hyperlink>
      <w:r>
        <w:t xml:space="preserve">.</w:t>
      </w:r>
    </w:p>
    <w:bookmarkEnd w:id="31"/>
    <w:bookmarkStart w:id="33" w:name="ref-Engel2013"/>
    <w:p>
      <w:pPr>
        <w:pStyle w:val="Bibliography"/>
      </w:pPr>
      <w:r>
        <w:t xml:space="preserve">Engel, Philipp, and Nancy A. Moran. 2013.</w:t>
      </w:r>
      <w:r>
        <w:t xml:space="preserve"> </w:t>
      </w:r>
      <w:r>
        <w:t xml:space="preserve">“The Gut Microbiota of Insects</w:t>
      </w:r>
      <w:r>
        <w:t xml:space="preserve"> </w:t>
      </w:r>
      <w:r>
        <w:t xml:space="preserve"> </w:t>
      </w:r>
      <w:r>
        <w:t xml:space="preserve">Diversity in Structure and Function.”</w:t>
      </w:r>
      <w:r>
        <w:t xml:space="preserve"> </w:t>
      </w:r>
      <w:r>
        <w:rPr>
          <w:i/>
          <w:iCs/>
        </w:rPr>
        <w:t xml:space="preserve">FEMS Microbiology Reviews</w:t>
      </w:r>
      <w:r>
        <w:t xml:space="preserve"> </w:t>
      </w:r>
      <w:r>
        <w:t xml:space="preserve">37 (5): 699–735.</w:t>
      </w:r>
      <w:r>
        <w:t xml:space="preserve"> </w:t>
      </w:r>
      <w:hyperlink r:id="rId32">
        <w:r>
          <w:rPr>
            <w:rStyle w:val="Hyperlink"/>
          </w:rPr>
          <w:t xml:space="preserve">https://doi.org/10.1111/1574-6976.12025</w:t>
        </w:r>
      </w:hyperlink>
      <w:r>
        <w:t xml:space="preserve">.</w:t>
      </w:r>
    </w:p>
    <w:bookmarkEnd w:id="33"/>
    <w:bookmarkStart w:id="35" w:name="ref-ferguson2018"/>
    <w:p>
      <w:pPr>
        <w:pStyle w:val="Bibliography"/>
      </w:pPr>
      <w:r>
        <w:t xml:space="preserve">Ferguson, Laura V., Pranav Dhakal, Jacqueline E. Lebenzon, David E. Heinrichs, Carol Bucking, and Brent J. Sinclair. 2018.</w:t>
      </w:r>
      <w:r>
        <w:t xml:space="preserve"> </w:t>
      </w:r>
      <w:r>
        <w:t xml:space="preserve">“Seasonal Shifts in the Insect Gut Microbiome Are Concurrent with Changes in Cold Tolerance and Immunity.”</w:t>
      </w:r>
      <w:r>
        <w:t xml:space="preserve"> </w:t>
      </w:r>
      <w:r>
        <w:t xml:space="preserve">Edited by Seth Barribeau.</w:t>
      </w:r>
      <w:r>
        <w:t xml:space="preserve"> </w:t>
      </w:r>
      <w:r>
        <w:rPr>
          <w:i/>
          <w:iCs/>
        </w:rPr>
        <w:t xml:space="preserve">Functional Ecology</w:t>
      </w:r>
      <w:r>
        <w:t xml:space="preserve"> </w:t>
      </w:r>
      <w:r>
        <w:t xml:space="preserve">32 (10): 2357–68.</w:t>
      </w:r>
      <w:r>
        <w:t xml:space="preserve"> </w:t>
      </w:r>
      <w:hyperlink r:id="rId34">
        <w:r>
          <w:rPr>
            <w:rStyle w:val="Hyperlink"/>
          </w:rPr>
          <w:t xml:space="preserve">https://doi.org/10.1111/1365-2435.13153</w:t>
        </w:r>
      </w:hyperlink>
      <w:r>
        <w:t xml:space="preserve">.</w:t>
      </w:r>
    </w:p>
    <w:bookmarkEnd w:id="35"/>
    <w:bookmarkStart w:id="37" w:name="ref-gérard2020"/>
    <w:p>
      <w:pPr>
        <w:pStyle w:val="Bibliography"/>
      </w:pPr>
      <w:r>
        <w:t xml:space="preserve">Gérard, Maxence, Maryse Vanderplanck, Thomas Wood, and Denis Michez. 2020.</w:t>
      </w:r>
      <w:r>
        <w:t xml:space="preserve"> </w:t>
      </w:r>
      <w:r>
        <w:t xml:space="preserve">“Global Warming and Plant</w:t>
      </w:r>
      <w:r>
        <w:t xml:space="preserve">pollinator Mismatches.”</w:t>
      </w:r>
      <w:r>
        <w:t xml:space="preserve"> </w:t>
      </w:r>
      <w:r>
        <w:t xml:space="preserve">Edited by Alison Scott-Brown and Hauke Koch.</w:t>
      </w:r>
      <w:r>
        <w:t xml:space="preserve"> </w:t>
      </w:r>
      <w:r>
        <w:rPr>
          <w:i/>
          <w:iCs/>
        </w:rPr>
        <w:t xml:space="preserve">Emerging Topics in Life Sciences</w:t>
      </w:r>
      <w:r>
        <w:t xml:space="preserve"> </w:t>
      </w:r>
      <w:r>
        <w:t xml:space="preserve">4 (1): 77–86.</w:t>
      </w:r>
      <w:r>
        <w:t xml:space="preserve"> </w:t>
      </w:r>
      <w:hyperlink r:id="rId36">
        <w:r>
          <w:rPr>
            <w:rStyle w:val="Hyperlink"/>
          </w:rPr>
          <w:t xml:space="preserve">https://doi.org/10.1042/etls20190139</w:t>
        </w:r>
      </w:hyperlink>
      <w:r>
        <w:t xml:space="preserve">.</w:t>
      </w:r>
    </w:p>
    <w:bookmarkEnd w:id="37"/>
    <w:bookmarkStart w:id="39" w:name="ref-guzman2024"/>
    <w:p>
      <w:pPr>
        <w:pStyle w:val="Bibliography"/>
      </w:pPr>
      <w:r>
        <w:t xml:space="preserve">Guzman, Laura Melissa, Elizabeth Elle, Lora A. Morandin, Neil S. Cobb, Paige R. Chesshire, Lindsie M. McCabe, Alice Hughes, Michael Orr, and Leithen K. M’Gonigle. 2024.</w:t>
      </w:r>
      <w:r>
        <w:t xml:space="preserve"> </w:t>
      </w:r>
      <w:r>
        <w:t xml:space="preserve">“Impact of Pesticide Use on Wild Bee Distributions Across the United States.”</w:t>
      </w:r>
      <w:r>
        <w:t xml:space="preserve"> </w:t>
      </w:r>
      <w:r>
        <w:rPr>
          <w:i/>
          <w:iCs/>
        </w:rPr>
        <w:t xml:space="preserve">Nature Sustainability</w:t>
      </w:r>
      <w:r>
        <w:t xml:space="preserve"> </w:t>
      </w:r>
      <w:r>
        <w:t xml:space="preserve">7 (10): 1324–34.</w:t>
      </w:r>
      <w:r>
        <w:t xml:space="preserve"> </w:t>
      </w:r>
      <w:hyperlink r:id="rId38">
        <w:r>
          <w:rPr>
            <w:rStyle w:val="Hyperlink"/>
          </w:rPr>
          <w:t xml:space="preserve">https://doi.org/10.1038/s41893-024-01413-8</w:t>
        </w:r>
      </w:hyperlink>
      <w:r>
        <w:t xml:space="preserve">.</w:t>
      </w:r>
    </w:p>
    <w:bookmarkEnd w:id="39"/>
    <w:bookmarkStart w:id="41" w:name="ref-iNEXT"/>
    <w:p>
      <w:pPr>
        <w:pStyle w:val="Bibliography"/>
      </w:pPr>
      <w:r>
        <w:t xml:space="preserve">Hsieh, T. C., K. H. Ma, and Anne Chao. 2024.</w:t>
      </w:r>
      <w:r>
        <w:t xml:space="preserve"> </w:t>
      </w:r>
      <w:r>
        <w:t xml:space="preserve">“iNEXT: Interpolation and Extrapolation for Species Diversity.”</w:t>
      </w:r>
      <w:r>
        <w:t xml:space="preserve"> </w:t>
      </w:r>
      <w:hyperlink r:id="rId40">
        <w:r>
          <w:rPr>
            <w:rStyle w:val="Hyperlink"/>
          </w:rPr>
          <w:t xml:space="preserve">http://chao.stat.nthu.edu.tw/wordpress/software_download/</w:t>
        </w:r>
      </w:hyperlink>
      <w:r>
        <w:t xml:space="preserve">.</w:t>
      </w:r>
    </w:p>
    <w:bookmarkEnd w:id="41"/>
    <w:bookmarkStart w:id="43" w:name="ref-klein2006"/>
    <w:p>
      <w:pPr>
        <w:pStyle w:val="Bibliography"/>
      </w:pPr>
      <w:r>
        <w:t xml:space="preserve">Klein, Alexandra-Maria, Bernard E Vaissière, James H Cane, Ingolf Steffan-Dewenter, Saul A Cunningham, Claire Kremen, and Teja Tscharntke. 2006.</w:t>
      </w:r>
      <w:r>
        <w:t xml:space="preserve"> </w:t>
      </w:r>
      <w:r>
        <w:t xml:space="preserve">“Importance of Pollinators in Changing Landscapes for World Crops.”</w:t>
      </w:r>
      <w:r>
        <w:t xml:space="preserve"> </w:t>
      </w:r>
      <w:r>
        <w:rPr>
          <w:i/>
          <w:iCs/>
        </w:rPr>
        <w:t xml:space="preserve">Proceedings of the Royal Society B: Biological Sciences</w:t>
      </w:r>
      <w:r>
        <w:t xml:space="preserve"> </w:t>
      </w:r>
      <w:r>
        <w:t xml:space="preserve">274 (1608): 303–13.</w:t>
      </w:r>
      <w:r>
        <w:t xml:space="preserve"> </w:t>
      </w:r>
      <w:hyperlink r:id="rId42">
        <w:r>
          <w:rPr>
            <w:rStyle w:val="Hyperlink"/>
          </w:rPr>
          <w:t xml:space="preserve">https://doi.org/10.1098/rspb.2006.3721</w:t>
        </w:r>
      </w:hyperlink>
      <w:r>
        <w:t xml:space="preserve">.</w:t>
      </w:r>
    </w:p>
    <w:bookmarkEnd w:id="43"/>
    <w:bookmarkStart w:id="45" w:name="ref-koch2011"/>
    <w:p>
      <w:pPr>
        <w:pStyle w:val="Bibliography"/>
      </w:pPr>
      <w:r>
        <w:t xml:space="preserve">Koch, Hauke, and Paul Schmid-Hempel. 2011.</w:t>
      </w:r>
      <w:r>
        <w:t xml:space="preserve"> </w:t>
      </w:r>
      <w:r>
        <w:t xml:space="preserve">“Socially Transmitted Gut Microbiota Protect Bumble Bees Against an Intestinal Parasite.”</w:t>
      </w:r>
      <w:r>
        <w:t xml:space="preserve"> </w:t>
      </w:r>
      <w:r>
        <w:rPr>
          <w:i/>
          <w:iCs/>
        </w:rPr>
        <w:t xml:space="preserve">Proceedings of the National Academy of Sciences</w:t>
      </w:r>
      <w:r>
        <w:t xml:space="preserve"> </w:t>
      </w:r>
      <w:r>
        <w:t xml:space="preserve">108 (48): 19288–92.</w:t>
      </w:r>
      <w:r>
        <w:t xml:space="preserve"> </w:t>
      </w:r>
      <w:hyperlink r:id="rId44">
        <w:r>
          <w:rPr>
            <w:rStyle w:val="Hyperlink"/>
          </w:rPr>
          <w:t xml:space="preserve">https://doi.org/10.1073/pnas.1110474108</w:t>
        </w:r>
      </w:hyperlink>
      <w:r>
        <w:t xml:space="preserve">.</w:t>
      </w:r>
    </w:p>
    <w:bookmarkEnd w:id="45"/>
    <w:bookmarkStart w:id="47" w:name="ref-li2023"/>
    <w:p>
      <w:pPr>
        <w:pStyle w:val="Bibliography"/>
      </w:pPr>
      <w:r>
        <w:t xml:space="preserve">Li, Jilian, Logan Sauers, Daohua Zhuang, Haiqing Ren, Jun Guo, Liuhao Wang, Mingsheng Zhuang, et al. 2023.</w:t>
      </w:r>
      <w:r>
        <w:t xml:space="preserve"> </w:t>
      </w:r>
      <w:r>
        <w:t xml:space="preserve">“Divergence and Convergence of Gut Microbiomes of Wild Insect Pollinators.”</w:t>
      </w:r>
      <w:r>
        <w:t xml:space="preserve"> </w:t>
      </w:r>
      <w:r>
        <w:t xml:space="preserve">Edited by Margaret J. McFall-Ngai and William Ludington.</w:t>
      </w:r>
      <w:r>
        <w:t xml:space="preserve"> </w:t>
      </w:r>
      <w:r>
        <w:rPr>
          <w:i/>
          <w:iCs/>
        </w:rPr>
        <w:t xml:space="preserve">mBio</w:t>
      </w:r>
      <w:r>
        <w:t xml:space="preserve">, July.</w:t>
      </w:r>
      <w:r>
        <w:t xml:space="preserve"> </w:t>
      </w:r>
      <w:hyperlink r:id="rId46">
        <w:r>
          <w:rPr>
            <w:rStyle w:val="Hyperlink"/>
          </w:rPr>
          <w:t xml:space="preserve">https://doi.org/10.1128/mbio.01270-23</w:t>
        </w:r>
      </w:hyperlink>
      <w:r>
        <w:t xml:space="preserve">.</w:t>
      </w:r>
    </w:p>
    <w:bookmarkEnd w:id="47"/>
    <w:bookmarkStart w:id="49" w:name="ref-ludvigsen2015"/>
    <w:p>
      <w:pPr>
        <w:pStyle w:val="Bibliography"/>
      </w:pPr>
      <w:r>
        <w:t xml:space="preserve">Ludvigsen, Jane, Anbjørg Rangberg, Ekaterina Avershina, Monika Sekelja, Claus Kreibich, Gro Amdam, and Knut Rudi. 2015.</w:t>
      </w:r>
      <w:r>
        <w:t xml:space="preserve"> </w:t>
      </w:r>
      <w:r>
        <w:t xml:space="preserve">“Shifts in the Midgut/Pyloric Microbiota Composition Within a Honey Bee Apiary Throughout a Season.”</w:t>
      </w:r>
      <w:r>
        <w:t xml:space="preserve"> </w:t>
      </w:r>
      <w:r>
        <w:rPr>
          <w:i/>
          <w:iCs/>
        </w:rPr>
        <w:t xml:space="preserve">Microbes and Environments</w:t>
      </w:r>
      <w:r>
        <w:t xml:space="preserve"> </w:t>
      </w:r>
      <w:r>
        <w:t xml:space="preserve">30 (3): 235–44.</w:t>
      </w:r>
      <w:r>
        <w:t xml:space="preserve"> </w:t>
      </w:r>
      <w:hyperlink r:id="rId48">
        <w:r>
          <w:rPr>
            <w:rStyle w:val="Hyperlink"/>
          </w:rPr>
          <w:t xml:space="preserve">https://doi.org/10.1264/jsme2.me15019</w:t>
        </w:r>
      </w:hyperlink>
      <w:r>
        <w:t xml:space="preserve">.</w:t>
      </w:r>
    </w:p>
    <w:bookmarkEnd w:id="49"/>
    <w:bookmarkStart w:id="51" w:name="ref-maes2016"/>
    <w:p>
      <w:pPr>
        <w:pStyle w:val="Bibliography"/>
      </w:pPr>
      <w:r>
        <w:t xml:space="preserve">Maes, Patrick W., Pedro A. P. Rodrigues, Randy Oliver, Brendon M. Mott, and Kirk E. Anderson. 2016.</w:t>
      </w:r>
      <w:r>
        <w:t xml:space="preserve"> </w:t>
      </w:r>
      <w:r>
        <w:t xml:space="preserve">“Diet</w:t>
      </w:r>
      <w:r>
        <w:t xml:space="preserve">-</w:t>
      </w:r>
      <w:r>
        <w:t xml:space="preserve">Related Gut Bacterial Dysbiosis Correlates with Impaired Development, Increased Mortality and Nosema Disease in the Honeybee (</w:t>
      </w:r>
      <w:r>
        <w:rPr>
          <w:i/>
          <w:iCs/>
        </w:rPr>
        <w:t xml:space="preserve">Apis Mellifera</w:t>
      </w:r>
      <w:r>
        <w:t xml:space="preserve">).”</w:t>
      </w:r>
      <w:r>
        <w:t xml:space="preserve"> </w:t>
      </w:r>
      <w:r>
        <w:rPr>
          <w:i/>
          <w:iCs/>
        </w:rPr>
        <w:t xml:space="preserve">Molecular Ecology</w:t>
      </w:r>
      <w:r>
        <w:t xml:space="preserve"> </w:t>
      </w:r>
      <w:r>
        <w:t xml:space="preserve">25 (21): 5439–50.</w:t>
      </w:r>
      <w:r>
        <w:t xml:space="preserve"> </w:t>
      </w:r>
      <w:hyperlink r:id="rId50">
        <w:r>
          <w:rPr>
            <w:rStyle w:val="Hyperlink"/>
          </w:rPr>
          <w:t xml:space="preserve">https://doi.org/10.1111/mec.13862</w:t>
        </w:r>
      </w:hyperlink>
      <w:r>
        <w:t xml:space="preserve">.</w:t>
      </w:r>
    </w:p>
    <w:bookmarkEnd w:id="51"/>
    <w:bookmarkStart w:id="53" w:name="ref-manley2015"/>
    <w:p>
      <w:pPr>
        <w:pStyle w:val="Bibliography"/>
      </w:pPr>
      <w:r>
        <w:t xml:space="preserve">Manley, Robyn, Mike Boots, and Lena Wilfert. 2015.</w:t>
      </w:r>
      <w:r>
        <w:t xml:space="preserve"> </w:t>
      </w:r>
      <w:r>
        <w:t xml:space="preserve">“REVIEW: Emerging Viral Disease Risk to Pollinating Insects: Ecological, Evolutionary and Anthropogenic Factors.”</w:t>
      </w:r>
      <w:r>
        <w:t xml:space="preserve"> </w:t>
      </w:r>
      <w:r>
        <w:t xml:space="preserve">Edited by Ian Kaplan.</w:t>
      </w:r>
      <w:r>
        <w:t xml:space="preserve"> </w:t>
      </w:r>
      <w:r>
        <w:rPr>
          <w:i/>
          <w:iCs/>
        </w:rPr>
        <w:t xml:space="preserve">Journal of Applied Ecology</w:t>
      </w:r>
      <w:r>
        <w:t xml:space="preserve"> </w:t>
      </w:r>
      <w:r>
        <w:t xml:space="preserve">52 (2): 331–40.</w:t>
      </w:r>
      <w:r>
        <w:t xml:space="preserve"> </w:t>
      </w:r>
      <w:hyperlink r:id="rId52">
        <w:r>
          <w:rPr>
            <w:rStyle w:val="Hyperlink"/>
          </w:rPr>
          <w:t xml:space="preserve">https://doi.org/10.1111/1365-2664.12385</w:t>
        </w:r>
      </w:hyperlink>
      <w:r>
        <w:t xml:space="preserve">.</w:t>
      </w:r>
    </w:p>
    <w:bookmarkEnd w:id="53"/>
    <w:bookmarkStart w:id="55" w:name="ref-martinson2010"/>
    <w:p>
      <w:pPr>
        <w:pStyle w:val="Bibliography"/>
      </w:pPr>
      <w:r>
        <w:t xml:space="preserve">MARTINSON, VINCENT G., BRYAN N. DANFORTH, ROBERT L. MINCKLEY, OLAV RUEPPELL, SALIM TINGEK, and NANCY A. MORAN. 2010.</w:t>
      </w:r>
      <w:r>
        <w:t xml:space="preserve"> </w:t>
      </w:r>
      <w:r>
        <w:t xml:space="preserve">“A Simple and Distinctive Microbiota Associated with Honey Bees and Bumble Bees.”</w:t>
      </w:r>
      <w:r>
        <w:t xml:space="preserve"> </w:t>
      </w:r>
      <w:r>
        <w:rPr>
          <w:i/>
          <w:iCs/>
        </w:rPr>
        <w:t xml:space="preserve">Molecular Ecology</w:t>
      </w:r>
      <w:r>
        <w:t xml:space="preserve"> </w:t>
      </w:r>
      <w:r>
        <w:t xml:space="preserve">20 (3): 619–28.</w:t>
      </w:r>
      <w:r>
        <w:t xml:space="preserve"> </w:t>
      </w:r>
      <w:hyperlink r:id="rId54">
        <w:r>
          <w:rPr>
            <w:rStyle w:val="Hyperlink"/>
          </w:rPr>
          <w:t xml:space="preserve">https://doi.org/10.1111/j.1365-294x.2010.04959.x</w:t>
        </w:r>
      </w:hyperlink>
      <w:r>
        <w:t xml:space="preserve">.</w:t>
      </w:r>
    </w:p>
    <w:bookmarkEnd w:id="55"/>
    <w:bookmarkStart w:id="57" w:name="ref-miller-struttmann2015"/>
    <w:p>
      <w:pPr>
        <w:pStyle w:val="Bibliography"/>
      </w:pPr>
      <w:r>
        <w:t xml:space="preserve">Miller-Struttmann, Nicole E., Jennifer C. Geib, James D. Franklin, Peter G. Kevan, Ricardo M. Holdo, Diane Ebert-May, Austin M. Lynn, Jessica A. Kettenbach, Elizabeth Hedrick, and Candace Galen. 2015.</w:t>
      </w:r>
      <w:r>
        <w:t xml:space="preserve"> </w:t>
      </w:r>
      <w:r>
        <w:t xml:space="preserve">“Functional Mismatch in a Bumble Bee Pollination Mutualism Under Climate Change.”</w:t>
      </w:r>
      <w:r>
        <w:t xml:space="preserve"> </w:t>
      </w:r>
      <w:r>
        <w:rPr>
          <w:i/>
          <w:iCs/>
        </w:rPr>
        <w:t xml:space="preserve">Science</w:t>
      </w:r>
      <w:r>
        <w:t xml:space="preserve"> </w:t>
      </w:r>
      <w:r>
        <w:t xml:space="preserve">349 (6255): 1541–44.</w:t>
      </w:r>
      <w:r>
        <w:t xml:space="preserve"> </w:t>
      </w:r>
      <w:hyperlink r:id="rId56">
        <w:r>
          <w:rPr>
            <w:rStyle w:val="Hyperlink"/>
          </w:rPr>
          <w:t xml:space="preserve">https://doi.org/10.1126/science.aab0868</w:t>
        </w:r>
      </w:hyperlink>
      <w:r>
        <w:t xml:space="preserve">.</w:t>
      </w:r>
    </w:p>
    <w:bookmarkEnd w:id="57"/>
    <w:bookmarkStart w:id="59" w:name="ref-murphy2022"/>
    <w:p>
      <w:pPr>
        <w:pStyle w:val="Bibliography"/>
      </w:pPr>
      <w:r>
        <w:t xml:space="preserve">Murphy, James T., Tom D. Breeze, Bryony Willcox, Saorla Kavanagh, and Jane C. Stout. 2022.</w:t>
      </w:r>
      <w:r>
        <w:t xml:space="preserve"> </w:t>
      </w:r>
      <w:r>
        <w:t xml:space="preserve">“Globalisation and Pollinators: Pollinator Declines Are an Economic Threat to Global Food Systems.”</w:t>
      </w:r>
      <w:r>
        <w:t xml:space="preserve"> </w:t>
      </w:r>
      <w:r>
        <w:rPr>
          <w:i/>
          <w:iCs/>
        </w:rPr>
        <w:t xml:space="preserve">People and Nature</w:t>
      </w:r>
      <w:r>
        <w:t xml:space="preserve"> </w:t>
      </w:r>
      <w:r>
        <w:t xml:space="preserve">4 (3): 773–85.</w:t>
      </w:r>
      <w:r>
        <w:t xml:space="preserve"> </w:t>
      </w:r>
      <w:hyperlink r:id="rId58">
        <w:r>
          <w:rPr>
            <w:rStyle w:val="Hyperlink"/>
          </w:rPr>
          <w:t xml:space="preserve">https://doi.org/10.1002/pan3.10314</w:t>
        </w:r>
      </w:hyperlink>
      <w:r>
        <w:t xml:space="preserve">.</w:t>
      </w:r>
    </w:p>
    <w:bookmarkEnd w:id="59"/>
    <w:bookmarkStart w:id="61" w:name="ref-neu2021"/>
    <w:p>
      <w:pPr>
        <w:pStyle w:val="Bibliography"/>
      </w:pPr>
      <w:r>
        <w:t xml:space="preserve">Neu, Alexander T., Eric E. Allen, and Kaustuv Roy. 2021.</w:t>
      </w:r>
      <w:r>
        <w:t xml:space="preserve"> </w:t>
      </w:r>
      <w:r>
        <w:t xml:space="preserve">“Defining and Quantifying the Core Microbiome: Challenges and Prospects.”</w:t>
      </w:r>
      <w:r>
        <w:t xml:space="preserve"> </w:t>
      </w:r>
      <w:r>
        <w:rPr>
          <w:i/>
          <w:iCs/>
        </w:rPr>
        <w:t xml:space="preserve">Proceedings of the National Academy of Sciences</w:t>
      </w:r>
      <w:r>
        <w:t xml:space="preserve"> </w:t>
      </w:r>
      <w:r>
        <w:t xml:space="preserve">118 (51).</w:t>
      </w:r>
      <w:r>
        <w:t xml:space="preserve"> </w:t>
      </w:r>
      <w:hyperlink r:id="rId60">
        <w:r>
          <w:rPr>
            <w:rStyle w:val="Hyperlink"/>
          </w:rPr>
          <w:t xml:space="preserve">https://doi.org/10.1073/pnas.2104429118</w:t>
        </w:r>
      </w:hyperlink>
      <w:r>
        <w:t xml:space="preserve">.</w:t>
      </w:r>
    </w:p>
    <w:bookmarkEnd w:id="61"/>
    <w:bookmarkStart w:id="63" w:name="ref-ollerton2011"/>
    <w:p>
      <w:pPr>
        <w:pStyle w:val="Bibliography"/>
      </w:pPr>
      <w:r>
        <w:t xml:space="preserve">Ollerton, Jeff, Rachael Winfree, and Sam Tarrant. 2011.</w:t>
      </w:r>
      <w:r>
        <w:t xml:space="preserve"> </w:t>
      </w:r>
      <w:r>
        <w:t xml:space="preserve">“How Many Flowering Plants Are Pollinated by Animals?”</w:t>
      </w:r>
      <w:r>
        <w:t xml:space="preserve"> </w:t>
      </w:r>
      <w:r>
        <w:rPr>
          <w:i/>
          <w:iCs/>
        </w:rPr>
        <w:t xml:space="preserve">Oikos</w:t>
      </w:r>
      <w:r>
        <w:t xml:space="preserve"> </w:t>
      </w:r>
      <w:r>
        <w:t xml:space="preserve">120 (3): 321–26.</w:t>
      </w:r>
      <w:r>
        <w:t xml:space="preserve"> </w:t>
      </w:r>
      <w:hyperlink r:id="rId62">
        <w:r>
          <w:rPr>
            <w:rStyle w:val="Hyperlink"/>
          </w:rPr>
          <w:t xml:space="preserve">https://doi.org/10.1111/j.1600-0706.2010.18644.x</w:t>
        </w:r>
      </w:hyperlink>
      <w:r>
        <w:t xml:space="preserve">.</w:t>
      </w:r>
    </w:p>
    <w:bookmarkEnd w:id="63"/>
    <w:bookmarkStart w:id="65" w:name="ref-Pizarro2021"/>
    <w:p>
      <w:pPr>
        <w:pStyle w:val="Bibliography"/>
      </w:pPr>
      <w:r>
        <w:t xml:space="preserve">Pizarro, Manuel, Diego Hernangómez, and Gema Fernández-Avilés. 2021.</w:t>
      </w:r>
      <w:r>
        <w:t xml:space="preserve"> </w:t>
      </w:r>
      <w:r>
        <w:t xml:space="preserve">“Climaemet: Climate AEMET Tools,”</w:t>
      </w:r>
      <w:r>
        <w:t xml:space="preserve"> </w:t>
      </w:r>
      <w:r>
        <w:t xml:space="preserve">September.</w:t>
      </w:r>
      <w:r>
        <w:t xml:space="preserve"> </w:t>
      </w:r>
      <w:hyperlink r:id="rId64">
        <w:r>
          <w:rPr>
            <w:rStyle w:val="Hyperlink"/>
          </w:rPr>
          <w:t xml:space="preserve">https://doi.org/10.5281/ZENODO.5512237</w:t>
        </w:r>
      </w:hyperlink>
      <w:r>
        <w:t xml:space="preserve">.</w:t>
      </w:r>
    </w:p>
    <w:bookmarkEnd w:id="65"/>
    <w:bookmarkStart w:id="67" w:name="ref-risely2020"/>
    <w:p>
      <w:pPr>
        <w:pStyle w:val="Bibliography"/>
      </w:pPr>
      <w:r>
        <w:t xml:space="preserve">Risely, Alice. 2020.</w:t>
      </w:r>
      <w:r>
        <w:t xml:space="preserve"> </w:t>
      </w:r>
      <w:r>
        <w:t xml:space="preserve">“Applying the Core Microbiome to Understand Host</w:t>
      </w:r>
      <w:r>
        <w:t xml:space="preserve">microbe Systems.”</w:t>
      </w:r>
      <w:r>
        <w:t xml:space="preserve"> </w:t>
      </w:r>
      <w:r>
        <w:t xml:space="preserve">Edited by Ann Tate.</w:t>
      </w:r>
      <w:r>
        <w:t xml:space="preserve"> </w:t>
      </w:r>
      <w:r>
        <w:rPr>
          <w:i/>
          <w:iCs/>
        </w:rPr>
        <w:t xml:space="preserve">Journal of Animal Ecology</w:t>
      </w:r>
      <w:r>
        <w:t xml:space="preserve"> </w:t>
      </w:r>
      <w:r>
        <w:t xml:space="preserve">89 (7): 1549–58.</w:t>
      </w:r>
      <w:r>
        <w:t xml:space="preserve"> </w:t>
      </w:r>
      <w:hyperlink r:id="rId66">
        <w:r>
          <w:rPr>
            <w:rStyle w:val="Hyperlink"/>
          </w:rPr>
          <w:t xml:space="preserve">https://doi.org/10.1111/1365-2656.13229</w:t>
        </w:r>
      </w:hyperlink>
      <w:r>
        <w:t xml:space="preserve">.</w:t>
      </w:r>
    </w:p>
    <w:bookmarkEnd w:id="67"/>
    <w:bookmarkStart w:id="69" w:name="ref-shah2024"/>
    <w:p>
      <w:pPr>
        <w:pStyle w:val="Bibliography"/>
      </w:pPr>
      <w:r>
        <w:t xml:space="preserve">Shah, Sakhawat, Muhammad Ilyas, Sufen Bian, and Feng-Lian Yang. 2024.</w:t>
      </w:r>
      <w:r>
        <w:t xml:space="preserve"> </w:t>
      </w:r>
      <w:r>
        <w:t xml:space="preserve">“Discussion: Harnessing Microbiome-Mediated Adaptations in Insect Pollinators to Mitigate Climate Change Impact on Crop Pollination.”</w:t>
      </w:r>
      <w:r>
        <w:t xml:space="preserve"> </w:t>
      </w:r>
      <w:r>
        <w:rPr>
          <w:i/>
          <w:iCs/>
        </w:rPr>
        <w:t xml:space="preserve">Science of The Total Environment</w:t>
      </w:r>
      <w:r>
        <w:t xml:space="preserve"> </w:t>
      </w:r>
      <w:r>
        <w:t xml:space="preserve">915 (March): 170145.</w:t>
      </w:r>
      <w:r>
        <w:t xml:space="preserve"> </w:t>
      </w:r>
      <w:hyperlink r:id="rId68">
        <w:r>
          <w:rPr>
            <w:rStyle w:val="Hyperlink"/>
          </w:rPr>
          <w:t xml:space="preserve">https://doi.org/10.1016/j.scitotenv.2024.170145</w:t>
        </w:r>
      </w:hyperlink>
      <w:r>
        <w:t xml:space="preserve">.</w:t>
      </w:r>
    </w:p>
    <w:bookmarkEnd w:id="69"/>
    <w:bookmarkStart w:id="71" w:name="ref-steele2021"/>
    <w:p>
      <w:pPr>
        <w:pStyle w:val="Bibliography"/>
      </w:pPr>
      <w:r>
        <w:t xml:space="preserve">Steele, Margaret I., Erick V. S. Motta, Tejashwini Gattu, Daniel Martinez, and Nancy A. Moran. 2021.</w:t>
      </w:r>
      <w:r>
        <w:t xml:space="preserve"> </w:t>
      </w:r>
      <w:r>
        <w:t xml:space="preserve">“The Gut Microbiota Protects Bees from Invasion by a Bacterial Pathogen.”</w:t>
      </w:r>
      <w:r>
        <w:t xml:space="preserve"> </w:t>
      </w:r>
      <w:r>
        <w:t xml:space="preserve">Edited by Soo Chan Lee.</w:t>
      </w:r>
      <w:r>
        <w:t xml:space="preserve"> </w:t>
      </w:r>
      <w:r>
        <w:rPr>
          <w:i/>
          <w:iCs/>
        </w:rPr>
        <w:t xml:space="preserve">Microbiology Spectrum</w:t>
      </w:r>
      <w:r>
        <w:t xml:space="preserve"> </w:t>
      </w:r>
      <w:r>
        <w:t xml:space="preserve">9 (2).</w:t>
      </w:r>
      <w:r>
        <w:t xml:space="preserve"> </w:t>
      </w:r>
      <w:hyperlink r:id="rId70">
        <w:r>
          <w:rPr>
            <w:rStyle w:val="Hyperlink"/>
          </w:rPr>
          <w:t xml:space="preserve">https://doi.org/10.1128/spectrum.00394-21</w:t>
        </w:r>
      </w:hyperlink>
      <w:r>
        <w:t xml:space="preserve">.</w:t>
      </w:r>
    </w:p>
    <w:bookmarkEnd w:id="71"/>
    <w:bookmarkStart w:id="73" w:name="ref-stemet2024"/>
    <w:p>
      <w:pPr>
        <w:pStyle w:val="Bibliography"/>
      </w:pPr>
      <w:r>
        <w:t xml:space="preserve">Stemet, Lilia, David J. Biddinger, Kusum Naithani, Allen L. Szalanski, and Neelendra Joshi. 2024.</w:t>
      </w:r>
      <w:r>
        <w:t xml:space="preserve"> </w:t>
      </w:r>
      <w:r>
        <w:t xml:space="preserve">“Intertegular Distance of Wild Bees and Its Use in Estimating Proboscis Lengths and Foraging Ranges to Better Understand Bee Conservation Ecology.”</w:t>
      </w:r>
      <w:r>
        <w:t xml:space="preserve"> </w:t>
      </w:r>
      <w:hyperlink r:id="rId72">
        <w:r>
          <w:rPr>
            <w:rStyle w:val="Hyperlink"/>
          </w:rPr>
          <w:t xml:space="preserve">http://dx.doi.org/10.2139/ssrn.4877884</w:t>
        </w:r>
      </w:hyperlink>
      <w:r>
        <w:t xml:space="preserve">.</w:t>
      </w:r>
    </w:p>
    <w:bookmarkEnd w:id="73"/>
    <w:bookmarkStart w:id="75" w:name="ref-vanbergen2017"/>
    <w:p>
      <w:pPr>
        <w:pStyle w:val="Bibliography"/>
      </w:pPr>
      <w:r>
        <w:t xml:space="preserve">Vanbergen, Adam J., Anahí Espíndola, and Marcelo A. Aizen. 2017.</w:t>
      </w:r>
      <w:r>
        <w:t xml:space="preserve"> </w:t>
      </w:r>
      <w:r>
        <w:t xml:space="preserve">“Risks to Pollinators and Pollination from Invasive Alien Species.”</w:t>
      </w:r>
      <w:r>
        <w:t xml:space="preserve"> </w:t>
      </w:r>
      <w:r>
        <w:rPr>
          <w:i/>
          <w:iCs/>
        </w:rPr>
        <w:t xml:space="preserve">Nature Ecology &amp; Evolution</w:t>
      </w:r>
      <w:r>
        <w:t xml:space="preserve"> </w:t>
      </w:r>
      <w:r>
        <w:t xml:space="preserve">2 (1): 16–25.</w:t>
      </w:r>
      <w:r>
        <w:t xml:space="preserve"> </w:t>
      </w:r>
      <w:hyperlink r:id="rId74">
        <w:r>
          <w:rPr>
            <w:rStyle w:val="Hyperlink"/>
          </w:rPr>
          <w:t xml:space="preserve">https://doi.org/10.1038/s41559-017-0412-3</w:t>
        </w:r>
      </w:hyperlink>
      <w:r>
        <w:t xml:space="preserve">.</w:t>
      </w:r>
    </w:p>
    <w:bookmarkEnd w:id="75"/>
    <w:bookmarkStart w:id="77" w:name="ref-wagner2021"/>
    <w:p>
      <w:pPr>
        <w:pStyle w:val="Bibliography"/>
      </w:pPr>
      <w:r>
        <w:t xml:space="preserve">Wagner, David L., Eliza M. Grames, Matthew L. Forister, May R. Berenbaum, and David Stopak. 2021.</w:t>
      </w:r>
      <w:r>
        <w:t xml:space="preserve"> </w:t>
      </w:r>
      <w:r>
        <w:t xml:space="preserve">“Insect Decline in the Anthropocene: Death by a Thousand Cuts.”</w:t>
      </w:r>
      <w:r>
        <w:t xml:space="preserve"> </w:t>
      </w:r>
      <w:r>
        <w:rPr>
          <w:i/>
          <w:iCs/>
        </w:rPr>
        <w:t xml:space="preserve">Proceedings of the National Academy of Sciences</w:t>
      </w:r>
      <w:r>
        <w:t xml:space="preserve"> </w:t>
      </w:r>
      <w:r>
        <w:t xml:space="preserve">118 (2).</w:t>
      </w:r>
      <w:r>
        <w:t xml:space="preserve"> </w:t>
      </w:r>
      <w:hyperlink r:id="rId76">
        <w:r>
          <w:rPr>
            <w:rStyle w:val="Hyperlink"/>
          </w:rPr>
          <w:t xml:space="preserve">https://doi.org/10.1073/pnas.2023989118</w:t>
        </w:r>
      </w:hyperlink>
      <w:r>
        <w:t xml:space="preserve">.</w:t>
      </w:r>
    </w:p>
    <w:bookmarkEnd w:id="77"/>
    <w:bookmarkStart w:id="79" w:name="ref-weinhold2024"/>
    <w:p>
      <w:pPr>
        <w:pStyle w:val="Bibliography"/>
      </w:pPr>
      <w:r>
        <w:t xml:space="preserve">Weinhold, Arne, Elisabeth Grüner, and Alexander Keller. 2024.</w:t>
      </w:r>
      <w:r>
        <w:t xml:space="preserve"> </w:t>
      </w:r>
      <w:r>
        <w:t xml:space="preserve">“Bumble Bee Microbiota Shows Temporal Succession and Increase of Lactic Acid Bacteria When Exposed to Outdoor Environments.”</w:t>
      </w:r>
      <w:r>
        <w:t xml:space="preserve"> </w:t>
      </w:r>
      <w:r>
        <w:rPr>
          <w:i/>
          <w:iCs/>
        </w:rPr>
        <w:t xml:space="preserve">Frontiers in Cellular and Infection Microbiology</w:t>
      </w:r>
      <w:r>
        <w:t xml:space="preserve"> </w:t>
      </w:r>
      <w:r>
        <w:t xml:space="preserve">14 (March).</w:t>
      </w:r>
      <w:r>
        <w:t xml:space="preserve"> </w:t>
      </w:r>
      <w:hyperlink r:id="rId78">
        <w:r>
          <w:rPr>
            <w:rStyle w:val="Hyperlink"/>
          </w:rPr>
          <w:t xml:space="preserve">https://doi.org/10.3389/fcimb.2024.1342781</w:t>
        </w:r>
      </w:hyperlink>
      <w:r>
        <w:t xml:space="preserve">.</w:t>
      </w:r>
    </w:p>
    <w:bookmarkEnd w:id="79"/>
    <w:bookmarkStart w:id="81" w:name="ref-winfree2009"/>
    <w:p>
      <w:pPr>
        <w:pStyle w:val="Bibliography"/>
      </w:pPr>
      <w:r>
        <w:t xml:space="preserve">Winfree, Rachael, Ramiro Aguilar, Diego P. Vázquez, Gretchen LeBuhn, and Marcelo A. Aizen. 2009.</w:t>
      </w:r>
      <w:r>
        <w:t xml:space="preserve"> </w:t>
      </w:r>
      <w:r>
        <w:t xml:space="preserve">“A Meta</w:t>
      </w:r>
      <w:r>
        <w:t xml:space="preserve">-</w:t>
      </w:r>
      <w:r>
        <w:t xml:space="preserve">Analysis of Bees’ Responses to Anthropogenic Disturbance.”</w:t>
      </w:r>
      <w:r>
        <w:t xml:space="preserve"> </w:t>
      </w:r>
      <w:r>
        <w:rPr>
          <w:i/>
          <w:iCs/>
        </w:rPr>
        <w:t xml:space="preserve">Ecology</w:t>
      </w:r>
      <w:r>
        <w:t xml:space="preserve"> </w:t>
      </w:r>
      <w:r>
        <w:t xml:space="preserve">90 (8): 2068–76.</w:t>
      </w:r>
      <w:r>
        <w:t xml:space="preserve"> </w:t>
      </w:r>
      <w:hyperlink r:id="rId80">
        <w:r>
          <w:rPr>
            <w:rStyle w:val="Hyperlink"/>
          </w:rPr>
          <w:t xml:space="preserve">https://doi.org/10.1890/08-1245.1</w:t>
        </w:r>
      </w:hyperlink>
      <w:r>
        <w:t xml:space="preserve">.</w:t>
      </w:r>
    </w:p>
    <w:bookmarkEnd w:id="81"/>
    <w:bookmarkStart w:id="83" w:name="ref-zheng2019"/>
    <w:p>
      <w:pPr>
        <w:pStyle w:val="Bibliography"/>
      </w:pPr>
      <w:r>
        <w:t xml:space="preserve">Zheng, Hao, Julie Perreau, J. Elijah Powell, Benfeng Han, Zijing Zhang, Waldan K. Kwong, Susannah G. Tringe, and Nancy A. Moran. 2019.</w:t>
      </w:r>
      <w:r>
        <w:t xml:space="preserve"> </w:t>
      </w:r>
      <w:r>
        <w:t xml:space="preserve">“Division of Labor in Honey Bee Gut Microbiota for Plant Polysaccharide Digestion.”</w:t>
      </w:r>
      <w:r>
        <w:t xml:space="preserve"> </w:t>
      </w:r>
      <w:r>
        <w:rPr>
          <w:i/>
          <w:iCs/>
        </w:rPr>
        <w:t xml:space="preserve">Proceedings of the National Academy of Sciences</w:t>
      </w:r>
      <w:r>
        <w:t xml:space="preserve"> </w:t>
      </w:r>
      <w:r>
        <w:t xml:space="preserve">116 (51): 25909–16.</w:t>
      </w:r>
      <w:r>
        <w:t xml:space="preserve"> </w:t>
      </w:r>
      <w:hyperlink r:id="rId82">
        <w:r>
          <w:rPr>
            <w:rStyle w:val="Hyperlink"/>
          </w:rPr>
          <w:t xml:space="preserve">https://doi.org/10.1073/pnas.1916224116</w:t>
        </w:r>
      </w:hyperlink>
      <w:r>
        <w:t xml:space="preserve">.</w:t>
      </w:r>
    </w:p>
    <w:bookmarkEnd w:id="83"/>
    <w:bookmarkStart w:id="85" w:name="ref-zheng2017"/>
    <w:p>
      <w:pPr>
        <w:pStyle w:val="Bibliography"/>
      </w:pPr>
      <w:r>
        <w:t xml:space="preserve">Zheng, Hao, J. Elijah Powell, Margaret I. Steele, Carsten Dietrich, and Nancy A. Moran. 2017.</w:t>
      </w:r>
      <w:r>
        <w:t xml:space="preserve"> </w:t>
      </w:r>
      <w:r>
        <w:t xml:space="preserve">“Honeybee Gut Microbiota Promotes Host Weight Gain via Bacterial Metabolism and Hormonal Signaling.”</w:t>
      </w:r>
      <w:r>
        <w:t xml:space="preserve"> </w:t>
      </w:r>
      <w:r>
        <w:rPr>
          <w:i/>
          <w:iCs/>
        </w:rPr>
        <w:t xml:space="preserve">Proceedings of the National Academy of Sciences</w:t>
      </w:r>
      <w:r>
        <w:t xml:space="preserve"> </w:t>
      </w:r>
      <w:r>
        <w:t xml:space="preserve">114 (18): 4775–80.</w:t>
      </w:r>
      <w:r>
        <w:t xml:space="preserve"> </w:t>
      </w:r>
      <w:hyperlink r:id="rId84">
        <w:r>
          <w:rPr>
            <w:rStyle w:val="Hyperlink"/>
          </w:rPr>
          <w:t xml:space="preserve">https://doi.org/10.1073/pnas.1701819114</w:t>
        </w:r>
      </w:hyperlink>
      <w:r>
        <w:t xml:space="preserve">.</w:t>
      </w:r>
    </w:p>
    <w:bookmarkEnd w:id="85"/>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chao.stat.nthu.edu.tw/wordpress/software_download/" TargetMode="External" /><Relationship Type="http://schemas.openxmlformats.org/officeDocument/2006/relationships/hyperlink" Id="rId72" Target="http://dx.doi.org/10.2139/ssrn.4877884" TargetMode="External" /><Relationship Type="http://schemas.openxmlformats.org/officeDocument/2006/relationships/hyperlink" Id="rId58" Target="https://doi.org/10.1002/pan3.10314" TargetMode="External" /><Relationship Type="http://schemas.openxmlformats.org/officeDocument/2006/relationships/hyperlink" Id="rId28" Target="https://doi.org/10.1016/j.gecco.2024.e02815" TargetMode="External" /><Relationship Type="http://schemas.openxmlformats.org/officeDocument/2006/relationships/hyperlink" Id="rId68" Target="https://doi.org/10.1016/j.scitotenv.2024.170145" TargetMode="External" /><Relationship Type="http://schemas.openxmlformats.org/officeDocument/2006/relationships/hyperlink" Id="rId74" Target="https://doi.org/10.1038/s41559-017-0412-3" TargetMode="External" /><Relationship Type="http://schemas.openxmlformats.org/officeDocument/2006/relationships/hyperlink" Id="rId26" Target="https://doi.org/10.1038/s41598-024-61199-9" TargetMode="External" /><Relationship Type="http://schemas.openxmlformats.org/officeDocument/2006/relationships/hyperlink" Id="rId38" Target="https://doi.org/10.1038/s41893-024-01413-8" TargetMode="External" /><Relationship Type="http://schemas.openxmlformats.org/officeDocument/2006/relationships/hyperlink" Id="rId36" Target="https://doi.org/10.1042/etls20190139" TargetMode="External" /><Relationship Type="http://schemas.openxmlformats.org/officeDocument/2006/relationships/hyperlink" Id="rId44" Target="https://doi.org/10.1073/pnas.1110474108" TargetMode="External" /><Relationship Type="http://schemas.openxmlformats.org/officeDocument/2006/relationships/hyperlink" Id="rId30" Target="https://doi.org/10.1073/pnas.1202970109" TargetMode="External" /><Relationship Type="http://schemas.openxmlformats.org/officeDocument/2006/relationships/hyperlink" Id="rId84" Target="https://doi.org/10.1073/pnas.1701819114" TargetMode="External" /><Relationship Type="http://schemas.openxmlformats.org/officeDocument/2006/relationships/hyperlink" Id="rId82" Target="https://doi.org/10.1073/pnas.1916224116" TargetMode="External" /><Relationship Type="http://schemas.openxmlformats.org/officeDocument/2006/relationships/hyperlink" Id="rId76" Target="https://doi.org/10.1073/pnas.2023989118" TargetMode="External" /><Relationship Type="http://schemas.openxmlformats.org/officeDocument/2006/relationships/hyperlink" Id="rId60" Target="https://doi.org/10.1073/pnas.2104429118" TargetMode="External" /><Relationship Type="http://schemas.openxmlformats.org/officeDocument/2006/relationships/hyperlink" Id="rId42" Target="https://doi.org/10.1098/rspb.2006.3721" TargetMode="External" /><Relationship Type="http://schemas.openxmlformats.org/officeDocument/2006/relationships/hyperlink" Id="rId34" Target="https://doi.org/10.1111/1365-2435.13153" TargetMode="External" /><Relationship Type="http://schemas.openxmlformats.org/officeDocument/2006/relationships/hyperlink" Id="rId66" Target="https://doi.org/10.1111/1365-2656.13229" TargetMode="External" /><Relationship Type="http://schemas.openxmlformats.org/officeDocument/2006/relationships/hyperlink" Id="rId52" Target="https://doi.org/10.1111/1365-2664.12385" TargetMode="External" /><Relationship Type="http://schemas.openxmlformats.org/officeDocument/2006/relationships/hyperlink" Id="rId32" Target="https://doi.org/10.1111/1574-6976.12025" TargetMode="External" /><Relationship Type="http://schemas.openxmlformats.org/officeDocument/2006/relationships/hyperlink" Id="rId54" Target="https://doi.org/10.1111/j.1365-294x.2010.04959.x" TargetMode="External" /><Relationship Type="http://schemas.openxmlformats.org/officeDocument/2006/relationships/hyperlink" Id="rId62" Target="https://doi.org/10.1111/j.1600-0706.2010.18644.x" TargetMode="External" /><Relationship Type="http://schemas.openxmlformats.org/officeDocument/2006/relationships/hyperlink" Id="rId50" Target="https://doi.org/10.1111/mec.13862" TargetMode="External" /><Relationship Type="http://schemas.openxmlformats.org/officeDocument/2006/relationships/hyperlink" Id="rId56" Target="https://doi.org/10.1126/science.aab0868" TargetMode="External" /><Relationship Type="http://schemas.openxmlformats.org/officeDocument/2006/relationships/hyperlink" Id="rId46" Target="https://doi.org/10.1128/mbio.01270-23" TargetMode="External" /><Relationship Type="http://schemas.openxmlformats.org/officeDocument/2006/relationships/hyperlink" Id="rId70" Target="https://doi.org/10.1128/spectrum.00394-21" TargetMode="External" /><Relationship Type="http://schemas.openxmlformats.org/officeDocument/2006/relationships/hyperlink" Id="rId48" Target="https://doi.org/10.1264/jsme2.me15019" TargetMode="External" /><Relationship Type="http://schemas.openxmlformats.org/officeDocument/2006/relationships/hyperlink" Id="rId80" Target="https://doi.org/10.1890/08-1245.1" TargetMode="External" /><Relationship Type="http://schemas.openxmlformats.org/officeDocument/2006/relationships/hyperlink" Id="rId78" Target="https://doi.org/10.3389/fcimb.2024.1342781" TargetMode="External" /><Relationship Type="http://schemas.openxmlformats.org/officeDocument/2006/relationships/hyperlink" Id="rId64" Target="https://doi.org/10.5281/ZENODO.5512237" TargetMode="External" /></Relationships>
</file>

<file path=word/_rels/footnotes.xml.rels><?xml version="1.0" encoding="UTF-8"?><Relationships xmlns="http://schemas.openxmlformats.org/package/2006/relationships"><Relationship Type="http://schemas.openxmlformats.org/officeDocument/2006/relationships/hyperlink" Id="rId40" Target="http://chao.stat.nthu.edu.tw/wordpress/software_download/" TargetMode="External" /><Relationship Type="http://schemas.openxmlformats.org/officeDocument/2006/relationships/hyperlink" Id="rId72" Target="http://dx.doi.org/10.2139/ssrn.4877884" TargetMode="External" /><Relationship Type="http://schemas.openxmlformats.org/officeDocument/2006/relationships/hyperlink" Id="rId58" Target="https://doi.org/10.1002/pan3.10314" TargetMode="External" /><Relationship Type="http://schemas.openxmlformats.org/officeDocument/2006/relationships/hyperlink" Id="rId28" Target="https://doi.org/10.1016/j.gecco.2024.e02815" TargetMode="External" /><Relationship Type="http://schemas.openxmlformats.org/officeDocument/2006/relationships/hyperlink" Id="rId68" Target="https://doi.org/10.1016/j.scitotenv.2024.170145" TargetMode="External" /><Relationship Type="http://schemas.openxmlformats.org/officeDocument/2006/relationships/hyperlink" Id="rId74" Target="https://doi.org/10.1038/s41559-017-0412-3" TargetMode="External" /><Relationship Type="http://schemas.openxmlformats.org/officeDocument/2006/relationships/hyperlink" Id="rId26" Target="https://doi.org/10.1038/s41598-024-61199-9" TargetMode="External" /><Relationship Type="http://schemas.openxmlformats.org/officeDocument/2006/relationships/hyperlink" Id="rId38" Target="https://doi.org/10.1038/s41893-024-01413-8" TargetMode="External" /><Relationship Type="http://schemas.openxmlformats.org/officeDocument/2006/relationships/hyperlink" Id="rId36" Target="https://doi.org/10.1042/etls20190139" TargetMode="External" /><Relationship Type="http://schemas.openxmlformats.org/officeDocument/2006/relationships/hyperlink" Id="rId44" Target="https://doi.org/10.1073/pnas.1110474108" TargetMode="External" /><Relationship Type="http://schemas.openxmlformats.org/officeDocument/2006/relationships/hyperlink" Id="rId30" Target="https://doi.org/10.1073/pnas.1202970109" TargetMode="External" /><Relationship Type="http://schemas.openxmlformats.org/officeDocument/2006/relationships/hyperlink" Id="rId84" Target="https://doi.org/10.1073/pnas.1701819114" TargetMode="External" /><Relationship Type="http://schemas.openxmlformats.org/officeDocument/2006/relationships/hyperlink" Id="rId82" Target="https://doi.org/10.1073/pnas.1916224116" TargetMode="External" /><Relationship Type="http://schemas.openxmlformats.org/officeDocument/2006/relationships/hyperlink" Id="rId76" Target="https://doi.org/10.1073/pnas.2023989118" TargetMode="External" /><Relationship Type="http://schemas.openxmlformats.org/officeDocument/2006/relationships/hyperlink" Id="rId60" Target="https://doi.org/10.1073/pnas.2104429118" TargetMode="External" /><Relationship Type="http://schemas.openxmlformats.org/officeDocument/2006/relationships/hyperlink" Id="rId42" Target="https://doi.org/10.1098/rspb.2006.3721" TargetMode="External" /><Relationship Type="http://schemas.openxmlformats.org/officeDocument/2006/relationships/hyperlink" Id="rId34" Target="https://doi.org/10.1111/1365-2435.13153" TargetMode="External" /><Relationship Type="http://schemas.openxmlformats.org/officeDocument/2006/relationships/hyperlink" Id="rId66" Target="https://doi.org/10.1111/1365-2656.13229" TargetMode="External" /><Relationship Type="http://schemas.openxmlformats.org/officeDocument/2006/relationships/hyperlink" Id="rId52" Target="https://doi.org/10.1111/1365-2664.12385" TargetMode="External" /><Relationship Type="http://schemas.openxmlformats.org/officeDocument/2006/relationships/hyperlink" Id="rId32" Target="https://doi.org/10.1111/1574-6976.12025" TargetMode="External" /><Relationship Type="http://schemas.openxmlformats.org/officeDocument/2006/relationships/hyperlink" Id="rId54" Target="https://doi.org/10.1111/j.1365-294x.2010.04959.x" TargetMode="External" /><Relationship Type="http://schemas.openxmlformats.org/officeDocument/2006/relationships/hyperlink" Id="rId62" Target="https://doi.org/10.1111/j.1600-0706.2010.18644.x" TargetMode="External" /><Relationship Type="http://schemas.openxmlformats.org/officeDocument/2006/relationships/hyperlink" Id="rId50" Target="https://doi.org/10.1111/mec.13862" TargetMode="External" /><Relationship Type="http://schemas.openxmlformats.org/officeDocument/2006/relationships/hyperlink" Id="rId56" Target="https://doi.org/10.1126/science.aab0868" TargetMode="External" /><Relationship Type="http://schemas.openxmlformats.org/officeDocument/2006/relationships/hyperlink" Id="rId46" Target="https://doi.org/10.1128/mbio.01270-23" TargetMode="External" /><Relationship Type="http://schemas.openxmlformats.org/officeDocument/2006/relationships/hyperlink" Id="rId70" Target="https://doi.org/10.1128/spectrum.00394-21" TargetMode="External" /><Relationship Type="http://schemas.openxmlformats.org/officeDocument/2006/relationships/hyperlink" Id="rId48" Target="https://doi.org/10.1264/jsme2.me15019" TargetMode="External" /><Relationship Type="http://schemas.openxmlformats.org/officeDocument/2006/relationships/hyperlink" Id="rId80" Target="https://doi.org/10.1890/08-1245.1" TargetMode="External" /><Relationship Type="http://schemas.openxmlformats.org/officeDocument/2006/relationships/hyperlink" Id="rId78" Target="https://doi.org/10.3389/fcimb.2024.1342781" TargetMode="External" /><Relationship Type="http://schemas.openxmlformats.org/officeDocument/2006/relationships/hyperlink" Id="rId64" Target="https://doi.org/10.5281/ZENODO.55122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
  <cp:keywords/>
  <dcterms:created xsi:type="dcterms:W3CDTF">2025-05-08T11:10:41Z</dcterms:created>
  <dcterms:modified xsi:type="dcterms:W3CDTF">2025-05-08T11:10:41Z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