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Changing</w:t>
      </w:r>
      <w:r>
        <w:t xml:space="preserve"> </w:t>
      </w:r>
      <w:r>
        <w:t xml:space="preserve">Microbiome:</w:t>
      </w:r>
      <w:r>
        <w:t xml:space="preserve"> </w:t>
      </w:r>
      <w:r>
        <w:t xml:space="preserve">How</w:t>
      </w:r>
      <w:r>
        <w:t xml:space="preserve"> </w:t>
      </w:r>
      <w:r>
        <w:t xml:space="preserve">Seasonal</w:t>
      </w:r>
      <w:r>
        <w:t xml:space="preserve"> </w:t>
      </w:r>
      <w:r>
        <w:t xml:space="preserve">Variation</w:t>
      </w:r>
      <w:r>
        <w:t xml:space="preserve"> </w:t>
      </w:r>
      <w:r>
        <w:t xml:space="preserve">Shapes</w:t>
      </w:r>
      <w:r>
        <w:t xml:space="preserve"> </w:t>
      </w:r>
      <w:r>
        <w:t xml:space="preserve">Bumblebee</w:t>
      </w:r>
      <w:r>
        <w:t xml:space="preserve"> </w:t>
      </w:r>
      <w:r>
        <w:t xml:space="preserve">Gut</w:t>
      </w:r>
      <w:r>
        <w:t xml:space="preserve"> </w:t>
      </w:r>
      <w:r>
        <w:t xml:space="preserve">Communities</w:t>
      </w:r>
    </w:p>
    <w:p>
      <w:pPr>
        <w:pStyle w:val="Author"/>
      </w:pPr>
      <w:r>
        <w:t xml:space="preserve">Luis</w:t>
      </w:r>
      <w:r>
        <w:t xml:space="preserve"> </w:t>
      </w:r>
      <w:r>
        <w:t xml:space="preserve">Javier</w:t>
      </w:r>
      <w:r>
        <w:t xml:space="preserve"> </w:t>
      </w:r>
      <w:r>
        <w:t xml:space="preserve">Chueca</w:t>
      </w:r>
      <w:r>
        <w:rPr>
          <w:vertAlign w:val="superscript"/>
        </w:rPr>
        <w:t xml:space="preserve">1</w:t>
      </w:r>
      <w:r>
        <w:t xml:space="preserve">*,</w:t>
      </w:r>
      <w:r>
        <w:t xml:space="preserve"> </w:t>
      </w:r>
      <w:r>
        <w:t xml:space="preserve">Jon</w:t>
      </w:r>
      <w:r>
        <w:t xml:space="preserve"> </w:t>
      </w:r>
      <w:r>
        <w:t xml:space="preserve">Poza</w:t>
      </w:r>
      <w:r>
        <w:rPr>
          <w:vertAlign w:val="superscript"/>
        </w:rPr>
        <w:t xml:space="preserve">1</w:t>
      </w:r>
      <w:r>
        <w:t xml:space="preserve">,</w:t>
      </w:r>
      <w:r>
        <w:t xml:space="preserve"> </w:t>
      </w:r>
      <w:r>
        <w:t xml:space="preserve">Manpreet</w:t>
      </w:r>
      <w:r>
        <w:t xml:space="preserve"> </w:t>
      </w:r>
      <w:r>
        <w:t xml:space="preserve">Dhami</w:t>
      </w:r>
      <w:r>
        <w:rPr>
          <w:vertAlign w:val="superscript"/>
        </w:rPr>
        <w:t xml:space="preserve">2,3</w:t>
      </w:r>
      <w:r>
        <w:t xml:space="preserve">,</w:t>
      </w:r>
      <w:r>
        <w:t xml:space="preserve"> </w:t>
      </w:r>
      <w:r>
        <w:t xml:space="preserve">Marion</w:t>
      </w:r>
      <w:r>
        <w:t xml:space="preserve"> </w:t>
      </w:r>
      <w:r>
        <w:t xml:space="preserve">Donald</w:t>
      </w:r>
      <w:r>
        <w:rPr>
          <w:vertAlign w:val="superscript"/>
        </w:rPr>
        <w:t xml:space="preserve">2</w:t>
      </w:r>
      <w:r>
        <w:t xml:space="preserve">,</w:t>
      </w:r>
      <w:r>
        <w:t xml:space="preserve"> </w:t>
      </w:r>
      <w:r>
        <w:t xml:space="preserve">Brais</w:t>
      </w:r>
      <w:r>
        <w:t xml:space="preserve"> </w:t>
      </w:r>
      <w:r>
        <w:t xml:space="preserve">Hermosilla</w:t>
      </w:r>
      <w:r>
        <w:rPr>
          <w:vertAlign w:val="superscript"/>
        </w:rPr>
        <w:t xml:space="preserve">1</w:t>
      </w:r>
      <w:r>
        <w:t xml:space="preserve">,</w:t>
      </w:r>
      <w:r>
        <w:t xml:space="preserve"> </w:t>
      </w:r>
      <w:r>
        <w:t xml:space="preserve">Jennifer</w:t>
      </w:r>
      <w:r>
        <w:t xml:space="preserve"> </w:t>
      </w:r>
      <w:r>
        <w:t xml:space="preserve">Rose</w:t>
      </w:r>
      <w:r>
        <w:rPr>
          <w:vertAlign w:val="superscript"/>
        </w:rPr>
        <w:t xml:space="preserve">1</w:t>
      </w:r>
      <w:r>
        <w:t xml:space="preserve">,</w:t>
      </w:r>
      <w:r>
        <w:t xml:space="preserve"> </w:t>
      </w:r>
      <w:r>
        <w:t xml:space="preserve">Xabier</w:t>
      </w:r>
      <w:r>
        <w:t xml:space="preserve"> </w:t>
      </w:r>
      <w:r>
        <w:t xml:space="preserve">Salgado</w:t>
      </w:r>
      <w:r>
        <w:rPr>
          <w:vertAlign w:val="superscript"/>
        </w:rPr>
        <w:t xml:space="preserve">1</w:t>
      </w:r>
      <w:r>
        <w:t xml:space="preserve">,</w:t>
      </w:r>
      <w:r>
        <w:t xml:space="preserve"> </w:t>
      </w:r>
      <w:r>
        <w:t xml:space="preserve">Ainhoa</w:t>
      </w:r>
      <w:r>
        <w:t xml:space="preserve"> </w:t>
      </w:r>
      <w:r>
        <w:t xml:space="preserve">Magrach</w:t>
      </w:r>
      <w:r>
        <w:rPr>
          <w:vertAlign w:val="superscript"/>
        </w:rPr>
        <w:t xml:space="preserve">1,4</w:t>
      </w:r>
    </w:p>
    <w:p>
      <w:pPr>
        <w:pStyle w:val="SourceCode"/>
      </w:pPr>
      <w:r>
        <w:rPr>
          <w:rStyle w:val="VerbatimChar"/>
        </w:rPr>
        <w:t xml:space="preserve">^1^Basque Centre for Climate Change-BC3, Edif. Sede 1, 1°, Parque Científico UPV-EHU, Barrio Sarriena s/n, 48940 Leioa, Spain</w:t>
      </w:r>
      <w:r>
        <w:br/>
      </w:r>
      <w:r>
        <w:br/>
      </w:r>
      <w:r>
        <w:rPr>
          <w:rStyle w:val="VerbatimChar"/>
        </w:rPr>
        <w:t xml:space="preserve">^2^Biocontrol &amp; Molecular Ecology, Manaaki Whenua Landcare Research, Lincoln, New Zealand\</w:t>
      </w:r>
      <w:r>
        <w:br/>
      </w:r>
      <w:r>
        <w:br/>
      </w:r>
      <w:r>
        <w:rPr>
          <w:rStyle w:val="VerbatimChar"/>
        </w:rPr>
        <w:t xml:space="preserve">^3^School of Biological Sciences, Waipapa Taumata Rau, University of Auckland, Auckland, New Zealand\</w:t>
      </w:r>
      <w:r>
        <w:br/>
      </w:r>
      <w:r>
        <w:br/>
      </w:r>
      <w:r>
        <w:rPr>
          <w:rStyle w:val="VerbatimChar"/>
        </w:rPr>
        <w:t xml:space="preserve">^4^IKERBASQUE, Basque Foundation for Science, María Díaz de Haro 3,48013 Bilbao, Spain</w:t>
      </w:r>
    </w:p>
    <w:bookmarkStart w:id="20" w:name="abstract"/>
    <w:p>
      <w:pPr>
        <w:pStyle w:val="Heading2"/>
      </w:pPr>
      <w:r>
        <w:t xml:space="preserve">Abstract</w:t>
      </w:r>
    </w:p>
    <w:p>
      <w:pPr>
        <w:pStyle w:val="FirstParagraph"/>
      </w:pPr>
      <w:r>
        <w:t xml:space="preserve">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Pr>
          <w:i/>
          <w:iCs/>
        </w:rPr>
        <w:t xml:space="preserve">Bombus pascuorum</w:t>
      </w:r>
      <w:r>
        <w:t xml:space="preserve">)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bookmarkEnd w:id="20"/>
    <w:bookmarkStart w:id="21" w:name="introduction"/>
    <w:p>
      <w:pPr>
        <w:pStyle w:val="Heading2"/>
      </w:pPr>
      <w:r>
        <w:t xml:space="preserve">Introduction</w:t>
      </w:r>
    </w:p>
    <w:p>
      <w:pPr>
        <w:pStyle w:val="FirstParagraph"/>
      </w:pPr>
      <w:r>
        <w:t xml:space="preserve">Pollinators play a critical role in the functioning of both natural and agricultural systems worldwide, facilitating the reproduction of &gt;85% of flowering plants</w:t>
      </w:r>
      <w:r>
        <w:t xml:space="preserve"> </w:t>
      </w:r>
      <w:r>
        <w:t xml:space="preserve">(Ollerton, Winfree, and Tarrant 2011)</w:t>
      </w:r>
      <w:r>
        <w:t xml:space="preserve"> </w:t>
      </w:r>
      <w:r>
        <w:t xml:space="preserve">and contributing to the production of &gt;75% of global food crops</w:t>
      </w:r>
      <w:r>
        <w:t xml:space="preserve"> </w:t>
      </w:r>
      <w:r>
        <w:t xml:space="preserve">(Klein et al. 2006)</w:t>
      </w:r>
      <w:r>
        <w:t xml:space="preserve">. However, pollinators are increasingly at risk due to multiple global change drivers, something that has been recently defined as</w:t>
      </w:r>
      <w:r>
        <w:t xml:space="preserve"> </w:t>
      </w:r>
      <w:r>
        <w:t xml:space="preserve">“</w:t>
      </w:r>
      <w:r>
        <w:rPr>
          <w:i/>
          <w:iCs/>
        </w:rPr>
        <w:t xml:space="preserve">death by a thousand cuts</w:t>
      </w:r>
      <w:r>
        <w:t xml:space="preserve">”</w:t>
      </w:r>
      <w:r>
        <w:t xml:space="preserve"> </w:t>
      </w:r>
      <w:r>
        <w:t xml:space="preserve">(Wagner et al. 2021)</w:t>
      </w:r>
      <w:r>
        <w:t xml:space="preserve">. Climate change, with its impacts on temperature and precipitation patterns, disrupts pollinator behaviors and/or morphologies</w:t>
      </w:r>
      <w:r>
        <w:t xml:space="preserve"> </w:t>
      </w:r>
      <w:r>
        <w:t xml:space="preserve">(Miller-Struttmann et al. 2015)</w:t>
      </w:r>
      <w:r>
        <w:t xml:space="preserve"> </w:t>
      </w:r>
      <w:r>
        <w:t xml:space="preserve">leading to plant-pollinator mismatches</w:t>
      </w:r>
      <w:r>
        <w:t xml:space="preserve"> </w:t>
      </w:r>
      <w:r>
        <w:t xml:space="preserve">(Gérard et al. 2020)</w:t>
      </w:r>
      <w:r>
        <w:t xml:space="preserve">. Habitat loss and fragmentation lead to a reduction in pollinator populations</w:t>
      </w:r>
      <w:r>
        <w:t xml:space="preserve"> </w:t>
      </w:r>
      <w:r>
        <w:t xml:space="preserve">(Winfree et al. 2009)</w:t>
      </w:r>
      <w:r>
        <w:t xml:space="preserve">, while the widespread use of pesticides introduce additional stresses</w:t>
      </w:r>
      <w:r>
        <w:t xml:space="preserve"> </w:t>
      </w:r>
      <w:r>
        <w:t xml:space="preserve">(Guzman et al. 2024)</w:t>
      </w:r>
      <w:r>
        <w:t xml:space="preserve">. These factors, compounded by the spread of diseases</w:t>
      </w:r>
      <w:r>
        <w:t xml:space="preserve"> </w:t>
      </w:r>
      <w:r>
        <w:t xml:space="preserve">(Manley, Boots, and Wilfert 2015)</w:t>
      </w:r>
      <w:r>
        <w:t xml:space="preserve"> </w:t>
      </w:r>
      <w:r>
        <w:t xml:space="preserve">and the increasing presence of invasive species</w:t>
      </w:r>
      <w:r>
        <w:t xml:space="preserve"> </w:t>
      </w:r>
      <w:r>
        <w:t xml:space="preserve">(Vanbergen, Espíndola, and Aizen 2017)</w:t>
      </w:r>
      <w:r>
        <w:t xml:space="preserve">, threaten the survival of pollinator populations, leading to cascading effects on ecosystems and human food systems</w:t>
      </w:r>
      <w:r>
        <w:t xml:space="preserve"> </w:t>
      </w:r>
      <w:r>
        <w:t xml:space="preserve">(Devkota et al. 2024; Murphy et al. 2022)</w:t>
      </w:r>
      <w:r>
        <w:t xml:space="preserve">.</w:t>
      </w:r>
    </w:p>
    <w:p>
      <w:pPr>
        <w:pStyle w:val="BodyText"/>
      </w:pPr>
      <w:r>
        <w:t xml:space="preserve">A relatively unexplored yet crucial aspect of pollinator populations is their microbiome</w:t>
      </w:r>
      <w:r>
        <w:t xml:space="preserve"> </w:t>
      </w:r>
      <w:r>
        <w:t xml:space="preserve">(Shah et al. 2024)</w:t>
      </w:r>
      <w:r>
        <w:t xml:space="preserve">, the community of microorganisms living within and on them. The microbiome can significantly impact the health, physiology</w:t>
      </w:r>
      <w:r>
        <w:t xml:space="preserve"> </w:t>
      </w:r>
      <w:r>
        <w:t xml:space="preserve">(Engel and Moran 2013)</w:t>
      </w:r>
      <w:r>
        <w:t xml:space="preserve">, development, and survival</w:t>
      </w:r>
      <w:r>
        <w:t xml:space="preserve"> </w:t>
      </w:r>
      <w:r>
        <w:t xml:space="preserve">(Ferguson et al. 2018)</w:t>
      </w:r>
      <w:r>
        <w:t xml:space="preserve"> </w:t>
      </w:r>
      <w:r>
        <w:t xml:space="preserve">of organisms, influencing digestion, immune function, and disease resistance. In insect pollinators, the gut microbiome plays a vital role in nutrient absorption</w:t>
      </w:r>
      <w:r>
        <w:t xml:space="preserve"> </w:t>
      </w:r>
      <w:r>
        <w:t xml:space="preserve">(Zheng et al. 2017, 2019)</w:t>
      </w:r>
      <w:r>
        <w:t xml:space="preserve">, detoxification of harmful substances</w:t>
      </w:r>
      <w:r>
        <w:t xml:space="preserve"> </w:t>
      </w:r>
      <w:r>
        <w:t xml:space="preserve">(Engel, Martinson, and Moran 2012)</w:t>
      </w:r>
      <w:r>
        <w:t xml:space="preserve">, and protection against pathogens</w:t>
      </w:r>
      <w:r>
        <w:t xml:space="preserve"> </w:t>
      </w:r>
      <w:r>
        <w:t xml:space="preserve">(Steele et al. 2021; Koch and Schmid-Hempel 2011)</w:t>
      </w:r>
      <w:r>
        <w:t xml:space="preserve">. Disruptions to the microbiome, whether through environmental changes, pesticide exposure, or other stressors, can compromise these essential functions and lead to increased vulnerability and mortality</w:t>
      </w:r>
      <w:r>
        <w:t xml:space="preserve"> </w:t>
      </w:r>
      <w:r>
        <w:t xml:space="preserve">(Maes et al. 2016)</w:t>
      </w:r>
      <w:r>
        <w:t xml:space="preserve">. Understanding the composition and functionality of microbiomes is therefore critical, not only for gaining insights into the biology and ecology of pollinator species but also for developing strategies to mitigate the adverse effects of global change drivers.</w:t>
      </w:r>
    </w:p>
    <w:p>
      <w:pPr>
        <w:pStyle w:val="BodyText"/>
      </w:pPr>
      <w:r>
        <w:t xml:space="preserve">Most research on pollinator microbiomes has focused on managed species, like honeybees</w:t>
      </w:r>
      <w:r>
        <w:t xml:space="preserve"> </w:t>
      </w:r>
      <w:r>
        <w:t xml:space="preserve">(Engel, Martinson, and Moran 2012)</w:t>
      </w:r>
      <w:r>
        <w:t xml:space="preserve"> </w:t>
      </w:r>
      <w:r>
        <w:t xml:space="preserve">and certain bumblebee species</w:t>
      </w:r>
      <w:r>
        <w:t xml:space="preserve"> </w:t>
      </w:r>
      <w:r>
        <w:t xml:space="preserve">(Weinhold, Grüner, and Keller 2024)</w:t>
      </w:r>
      <w:r>
        <w:t xml:space="preserve">, providing valuable insights into their gut microbial communities and how these microorganisms influence their health and productivity. However, our understanding of the microbiomes of other pollinator species, and particularly of wild species, remains limited (although see</w:t>
      </w:r>
      <w:r>
        <w:t xml:space="preserve"> </w:t>
      </w:r>
      <w:r>
        <w:t xml:space="preserve">(Li et al. 2023)</w:t>
      </w:r>
      <w:r>
        <w:t xml:space="preserve"> </w:t>
      </w:r>
      <w:r>
        <w:t xml:space="preserve">for a focus on other species). We know even less about how these microbiomes change over time or how different environmental factors shape them. 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pPr>
        <w:pStyle w:val="BodyText"/>
      </w:pPr>
      <w:r>
        <w:t xml:space="preserve">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t xml:space="preserve"> </w:t>
      </w:r>
      <w:r>
        <w:t xml:space="preserve">(Risely 2020; Neu, Allen, and Roy 2021)</w:t>
      </w:r>
      <w:r>
        <w:t xml:space="preserve">. This core microbiome consists of around five genera in the case of honeybees</w:t>
      </w:r>
      <w:r>
        <w:t xml:space="preserve"> </w:t>
      </w:r>
      <w:r>
        <w:t xml:space="preserve">(Carlini et al. 2024)</w:t>
      </w:r>
      <w:r>
        <w:t xml:space="preserve"> </w:t>
      </w:r>
      <w:r>
        <w:t xml:space="preserve">and is mostly vertically-transmitted within the hive</w:t>
      </w:r>
      <w:r>
        <w:t xml:space="preserve"> </w:t>
      </w:r>
      <w:r>
        <w:t xml:space="preserve">(MARTINSON et al. 2010)</w:t>
      </w:r>
      <w:r>
        <w:t xml:space="preserve">. In addition to this core microbiome, pollinators also acquire microbes from their environment, particularly through their diet</w:t>
      </w:r>
      <w:r>
        <w:t xml:space="preserve"> </w:t>
      </w:r>
      <w:r>
        <w:t xml:space="preserve">(Ludvigsen et al. 2015)</w:t>
      </w:r>
      <w:r>
        <w:t xml:space="preserve">, which can include nectar, pollen, and other floral resources. These acquired microorganisms can introduce new functions and adaptations but also make pollinators susceptible to environmental changes and stressors, which raises the need to understand the relationship between landscape composition (e.g., floral diversity) and microbiome composition.</w:t>
      </w:r>
    </w:p>
    <w:p>
      <w:pPr>
        <w:pStyle w:val="BodyText"/>
      </w:pPr>
      <w:r>
        <w:t xml:space="preserve">Here, we focus on understanding the microbiome composition and dynamics of a wild pollinator species, the common carder bee (</w:t>
      </w:r>
      <w:r>
        <w:rPr>
          <w:i/>
          <w:iCs/>
        </w:rPr>
        <w:t xml:space="preserve">Bombus pascuorum</w:t>
      </w:r>
      <w: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w:t>
      </w:r>
      <w:r>
        <w:t xml:space="preserve"> </w:t>
      </w:r>
      <w:r>
        <w:rPr>
          <w:i/>
          <w:iCs/>
        </w:rPr>
        <w:t xml:space="preserve">B. pascuorum</w:t>
      </w:r>
      <w:r>
        <w:t xml:space="preserve"> </w:t>
      </w:r>
      <w:r>
        <w:t xml:space="preserve">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bookmarkEnd w:id="21"/>
    <w:bookmarkStart w:id="22" w:name="methods"/>
    <w:p>
      <w:pPr>
        <w:pStyle w:val="Heading2"/>
      </w:pPr>
      <w:r>
        <w:t xml:space="preserve">Methods</w:t>
      </w:r>
    </w:p>
    <w:p>
      <w:pPr>
        <w:pStyle w:val="FirstParagraph"/>
      </w:pPr>
      <w:r>
        <w:t xml:space="preserve">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w:t>
      </w:r>
      <w:r>
        <w:t xml:space="preserve"> </w:t>
      </w:r>
      <w:r>
        <w:t xml:space="preserve">(Pizarro, Hernangómez, and Fernández-Avilés 2021)</w:t>
      </w:r>
      <w:r>
        <w:t xml:space="preserve">. The area’s vegetation includes beech forests mixed with extensive conifer plantations. Additionally, there is a notable presence of shrubland and meadows, particularly in the rockier, steeper regions of the mountain</w:t>
      </w:r>
      <w:r>
        <w:t xml:space="preserve"> </w:t>
      </w:r>
      <w:r>
        <w:t xml:space="preserve">(Albizu et al. 2002)</w:t>
      </w:r>
      <w:r>
        <w:t xml:space="preserve">.</w:t>
      </w:r>
    </w:p>
    <w:p>
      <w:pPr>
        <w:pStyle w:val="BodyText"/>
      </w:pPr>
      <w: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w:t>
      </w:r>
      <w:r>
        <w:t xml:space="preserve"> </w:t>
      </w:r>
      <w:r>
        <w:rPr>
          <w:i/>
          <w:iCs/>
        </w:rPr>
        <w:t xml:space="preserve">B. pascuorum</w:t>
      </w:r>
      <w:r>
        <w:t xml:space="preserve"> </w:t>
      </w:r>
      <w:r>
        <w:t xml:space="preserve">individuals per day, although this was not always possible. All collected individuals were labeled and stored independently in 50 ml vials at -20ºC until processed in the laboratory. For each bumblebee specimen we measured the inter-tegular distance as a measure of body size</w:t>
      </w:r>
      <w:r>
        <w:t xml:space="preserve"> </w:t>
      </w:r>
      <w:r>
        <w:t xml:space="preserve">(Stemet et al. 2024)</w:t>
      </w:r>
      <w:r>
        <w:t xml:space="preserve">. We then extracted 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pPr>
        <w:pStyle w:val="BodyText"/>
      </w:pPr>
      <w:r>
        <w:t xml:space="preserve">To avoid site and period vias all samples were randomized using a randomizer program before the DNA extraction, creating a new individual code for each sample.</w:t>
      </w:r>
    </w:p>
    <w:p>
      <w:pPr>
        <w:pStyle w:val="BodyText"/>
      </w:pPr>
      <w:r>
        <w:rPr>
          <w:i/>
          <w:iCs/>
        </w:rPr>
        <w:t xml:space="preserve">DNA Extraction and PCR Amplification</w:t>
      </w:r>
    </w:p>
    <w:p>
      <w:pPr>
        <w:pStyle w:val="BodyText"/>
      </w:pPr>
      <w: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 g for 2 minutes to eliminate foam. Next, 150 µL of Buffer SL3 were added to each sample, vortexed for 5 seconds, and incubated on ice at 0-4ºC for 5 minutes, followed by centrifugation at 11,000 × g for 1 minute. The lysate was filtered using a square-well block and the NucleoSpin® Inhibitor Removal Plate. 550 µL of the clear supernatant was loaded into each well, and the plates were centrifuged at 2,250 × g for 13 minutes. The NucleoSpin® Inhibitor Removal Plate was discarded, and 250 µL of Buffer SB was added to the flow-through, mixed by pipetting. To bind the DNA, 725 µL of sample was transferred to a NucleoSpin® Soil Binding Plate and centrifuged at 2,250 × g for 13 minutes. The flow-through was discarded. DNA was washed in four steps: (1) 500 µL of Buffer SB, centrifuged at 2,250 × g for 13 minutes; (2) 550 µL of Buffer SW1, centrifuged at 2,250 × g for 5 minutes; (3) 700 µL of Buffer SW2, centrifuged at 2,250 × g for 5 minutes; (4) 700 µL of Buffer SW2, centrifuged at 2,250 × g for 13 minutes. After washing, the plate was incubated at 37ºC for 20 minutes to dry the silica membrane. DNA was eluted by adding 100 µL of Buffer SE to each well, incubating for 1 minute, and centrifuging at 2,250 × g for 5 minutes. A total of 132 samples were obtained, with each sample labeled accordingly. Nanodrop tests were performed on random samples to confirm successful DNA extraction.</w:t>
      </w:r>
    </w:p>
    <w:p>
      <w:pPr>
        <w:pStyle w:val="BodyText"/>
      </w:pPr>
      <w:r>
        <w:rPr>
          <w:i/>
          <w:iCs/>
        </w:rPr>
        <w:t xml:space="preserve">PCR Amplification</w:t>
      </w:r>
    </w:p>
    <w:p>
      <w:pPr>
        <w:pStyle w:val="BodyText"/>
      </w:pPr>
      <w:r>
        <w:t xml:space="preserve">DNA amplification was assessed using two-step PCR. Step 1 PCRs were performed for bacterial, plant, and fungal genetic material, with identical reagent volumes for all samples, differing only in the primers used (Table xxx).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amplification success was confirmed via 2% agarose gel electrophoresis between Step 1 and Step 2 PCRs to verify amplicon size.</w:t>
      </w:r>
    </w:p>
    <w:p>
      <w:pPr>
        <w:pStyle w:val="BodyText"/>
      </w:pPr>
      <w:r>
        <w:rPr>
          <w:i/>
          <w:iCs/>
        </w:rPr>
        <w:t xml:space="preserve">Statistical analyses</w:t>
      </w:r>
    </w:p>
    <w:p>
      <w:pPr>
        <w:pStyle w:val="BodyText"/>
      </w:pPr>
      <w:r>
        <w:t xml:space="preserve">To evaluate the completeness of our surveys, we used the iNEXT package</w:t>
      </w:r>
      <w:r>
        <w:t xml:space="preserve"> </w:t>
      </w:r>
      <w:r>
        <w:t xml:space="preserve">(Hsieh, Ma, and Chao 2024)</w:t>
      </w:r>
      <w:r>
        <w:t xml:space="preserve">, which provides robust estimates of species diversity and sampling coverage based on sample-size- and coverage-based rarefaction and extrapolation. We compared the observed sample coverage with the estimated asymptotic coverage to quantify the fraction of the community captured by our sampling efforts. We analyzed community composition using Non-metric Multidimensional Scaling (NMDS) with the Bray-Curtis dissimilarity index, implemented in the vegan package in R</w:t>
      </w:r>
      <w:r>
        <w:t xml:space="preserve"> </w:t>
      </w:r>
      <w:r>
        <w:t xml:space="preserve">(Oksanen et al. 2024)</w:t>
      </w:r>
      <w:r>
        <w:t xml:space="preserve">. Species abundance data were square-root transformed to reduce the influence of dominant species. We then performed a Permutational Multivariate Analysis of Variance (PERMANOVA) with 999 permutations to assess significance. The time period in which the specimens were sampled was specified as the main factor.</w:t>
      </w:r>
    </w:p>
    <w:bookmarkEnd w:id="22"/>
    <w:bookmarkStart w:id="23" w:name="results"/>
    <w:p>
      <w:pPr>
        <w:pStyle w:val="Heading2"/>
      </w:pPr>
      <w:r>
        <w:t xml:space="preserve">Results</w:t>
      </w:r>
    </w:p>
    <w:p>
      <w:pPr>
        <w:pStyle w:val="FirstParagraph"/>
      </w:pPr>
      <w:r>
        <w:t xml:space="preserve">Throughout the flowering season, we collected a total of 132 bumblebee specimens across our 16 sites (XX+- individuals per site and period).</w:t>
      </w:r>
    </w:p>
    <w:p>
      <w:pPr>
        <w:pStyle w:val="BodyText"/>
      </w:pPr>
      <w:r>
        <w:t xml:space="preserve">Our results show that sampling completeness was XX%</w:t>
      </w:r>
    </w:p>
    <w:p>
      <w:pPr>
        <w:pStyle w:val="BodyText"/>
      </w:pPr>
      <w:r>
        <w:t xml:space="preserve">We find that bacterial diversity within bumblebee guts tends to slightly increase through time, although this relationship is not significant, probably due to our relatively low sample size.</w:t>
      </w:r>
    </w:p>
    <w:p>
      <w:pPr>
        <w:pStyle w:val="BodyText"/>
      </w:pPr>
      <w:r>
        <w:t xml:space="preserve">Bumblebee guts were characterized by a diverse group of bacteria, dominated by Gammaproteobacteria such as XX and XX, followed by Actinobacteria, Firmicutes and Cyanobacteria and including a relatively large proportion of unidentified specimens (X%).</w:t>
      </w:r>
    </w:p>
    <w:p>
      <w:pPr>
        <w:pStyle w:val="BodyText"/>
      </w:pPr>
      <w:r>
        <w:t xml:space="preserve">In terms of changes in composition through time, our results show that there is a constant group of bacterial components that consistently appear across all time periods (Fig. 4) and sites (Fig. SX), probably defining the species’ core microbiome and including ASVs in the genus Lactobacillus, Gilliamella, Snodgrassella and Bombiscardovia. We also find that towards the end of the sampling season, this core microbiome becomes complemented by other species belonging to genus like Pseudomonas, Bacillus, Commensalibacter or Apibacter.</w:t>
      </w:r>
    </w:p>
    <w:p>
      <w:pPr>
        <w:pStyle w:val="BodyText"/>
      </w:pPr>
      <w:r>
        <w:t xml:space="preserve">Our analysis of how the composition of the bacterial community changes through time shows a distinct grouping across the different time periods, with particular differences found between the earlier (dark blue) and later (yellow) time periods in their bacterial composition (Fig. 5).</w:t>
      </w:r>
    </w:p>
    <w:p>
      <w:pPr>
        <w:pStyle w:val="BodyText"/>
      </w:pPr>
      <w:r>
        <w:t xml:space="preserve">Our analysis of fungal communities…</w:t>
      </w:r>
    </w:p>
    <w:bookmarkEnd w:id="23"/>
    <w:bookmarkStart w:id="24" w:name="discussion"/>
    <w:p>
      <w:pPr>
        <w:pStyle w:val="Heading2"/>
      </w:pPr>
      <w:r>
        <w:t xml:space="preserve">Discussion</w:t>
      </w:r>
    </w:p>
    <w:p>
      <w:pPr>
        <w:pStyle w:val="FirstParagraph"/>
      </w:pPr>
      <w:r>
        <w:t xml:space="preserve">Our analysis of the microbial composition of wild bumblebee guts shows that</w:t>
      </w:r>
    </w:p>
    <w:p>
      <w:pPr>
        <w:pStyle w:val="BodyText"/>
      </w:pPr>
      <w:r>
        <w:t xml:space="preserve">Similar to other previous research looking at the composition of gut microbiomes in other bumblebee species, we find large differences throughout the flowering season (REF). Specifically, while bumblebees collected early in the season exhibit more depauperate patterns, featuring XX to XX ASVs, those captured later on in the season host a much more diverse microbial community (XXX to XXX). 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p>
    <w:p>
      <w:pPr>
        <w:pStyle w:val="BodyText"/>
      </w:pPr>
      <w:r>
        <w:t xml:space="preserve">Bumblebee guts were colonized by a diverse array of bacteria, with Gammaproteobacteria being the most abundant, followed by Actinobacteria, Firmicutes, and Cyanobacteria. Notably, we observed a considerable proportion of unidentified bacterial taxa (</w:t>
      </w:r>
      <w:r>
        <w:rPr>
          <w:b/>
          <w:bCs/>
        </w:rPr>
        <w:t xml:space="preserve">X%</w:t>
      </w:r>
      <w:r>
        <w:t xml:space="preserve">), reflecting both the complexity of microbial communities within pollinators and potential gaps in current taxonomic databases. This underlines the importance of continued exploration and sequencing efforts to fully characterize the microbial diversity associated with bumblebees.</w:t>
      </w:r>
    </w:p>
    <w:p>
      <w:pPr>
        <w:pStyle w:val="BodyText"/>
      </w:pPr>
      <w:r>
        <w:t xml:space="preserve">In terms of temporal shifts, our results indicate the persistence of a core group of bacterial taxa consistently present across all time points and sampling sites. This stable core microbiome, which includes Lactobacillus, Gilliamella, Snodgrassella, and Bombiscardovia, likely plays fundamental roles in host health, such as enhancing nutrient absorption, protecting against pathogens, and modulating immune responses (REF). The stability of this core community across both spatial and temporal scales suggests a strong host-microbe association that may be evolutionarily conserved.</w:t>
      </w:r>
    </w:p>
    <w:p>
      <w:pPr>
        <w:pStyle w:val="BodyText"/>
      </w:pPr>
      <w:r>
        <w:t xml:space="preserve">Interestingly, as the season progressed, the core microbiome was complemented by additional bacterial taxa, particularly species within the genera Pseudomonas, Bacillus, Commensalibacter, and Apibacter.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p>
    <w:p>
      <w:pPr>
        <w:pStyle w:val="BodyText"/>
      </w:pPr>
      <w:r>
        <w:t xml:space="preserve">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species. This shift may also be influenced by colony development stages, where increased colony size and worker numbers intensify environmental interactions.</w:t>
      </w:r>
    </w:p>
    <w:p>
      <w:pPr>
        <w:pStyle w:val="BodyText"/>
      </w:pPr>
      <w:r>
        <w:t xml:space="preserve">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be valuable for disentangling the drivers of microbiome shifts and their potential consequences for pollinator health and resilience.</w:t>
      </w:r>
    </w:p>
    <w:bookmarkEnd w:id="24"/>
    <w:bookmarkStart w:id="89" w:name="references"/>
    <w:p>
      <w:pPr>
        <w:pStyle w:val="Heading2"/>
      </w:pPr>
      <w:r>
        <w:t xml:space="preserve">References</w:t>
      </w:r>
    </w:p>
    <w:bookmarkStart w:id="88" w:name="refs"/>
    <w:bookmarkStart w:id="25" w:name="ref-Albizu2002COMPARACINDL"/>
    <w:p>
      <w:pPr>
        <w:pStyle w:val="Bibliography"/>
      </w:pPr>
      <w:r>
        <w:t xml:space="preserve">Albizu, Ibis, Gerardo Besga, Carlos Garbisu, S. Mendarte, Ibone Amezaga, Iker Mijangos, and Miren Onaindía. 2002.</w:t>
      </w:r>
      <w:r>
        <w:t xml:space="preserve"> </w:t>
      </w:r>
      <w:r>
        <w:t xml:space="preserve">“COMPARACI</w:t>
      </w:r>
      <w:r>
        <w:t xml:space="preserve">Ó</w:t>
      </w:r>
      <w:r>
        <w:t xml:space="preserve">n DE LA ALTURA y UNIDADES DEL MEDIDOR DE PLACA COMO ESTIMADORES DE LA BIOMASA EN LOS PASTOS DE MONTA</w:t>
      </w:r>
      <w:r>
        <w:t xml:space="preserve">Ñ</w:t>
      </w:r>
      <w:r>
        <w:t xml:space="preserve">a DEL</w:t>
      </w:r>
      <w:r>
        <w:t xml:space="preserve"> </w:t>
      </w:r>
      <w:r>
        <w:t xml:space="preserve">Á</w:t>
      </w:r>
      <w:r>
        <w:t xml:space="preserve">REA DE GORBEIA (BIZKAIA).”</w:t>
      </w:r>
      <w:r>
        <w:t xml:space="preserve"> </w:t>
      </w:r>
      <w:r>
        <w:t xml:space="preserve">In.</w:t>
      </w:r>
    </w:p>
    <w:bookmarkEnd w:id="25"/>
    <w:bookmarkStart w:id="27" w:name="ref-carlini2024"/>
    <w:p>
      <w:pPr>
        <w:pStyle w:val="Bibliography"/>
      </w:pPr>
      <w:r>
        <w:t xml:space="preserve">Carlini, David B., Sundre K. Winslow, Katja Cloppenborg-Schmidt, and John F. Baines. 2024.</w:t>
      </w:r>
      <w:r>
        <w:t xml:space="preserve"> </w:t>
      </w:r>
      <w:r>
        <w:t xml:space="preserve">“Quantitative Microbiome Profiling of Honey Bee (Apis Mellifera) Guts Is Predictive of Winter Colony Loss in Northern Virginia (USA).”</w:t>
      </w:r>
      <w:r>
        <w:t xml:space="preserve"> </w:t>
      </w:r>
      <w:r>
        <w:rPr>
          <w:i/>
          <w:iCs/>
        </w:rPr>
        <w:t xml:space="preserve">Scientific Reports</w:t>
      </w:r>
      <w:r>
        <w:t xml:space="preserve"> </w:t>
      </w:r>
      <w:r>
        <w:t xml:space="preserve">14 (1).</w:t>
      </w:r>
      <w:r>
        <w:t xml:space="preserve"> </w:t>
      </w:r>
      <w:hyperlink r:id="rId26">
        <w:r>
          <w:rPr>
            <w:rStyle w:val="Hyperlink"/>
          </w:rPr>
          <w:t xml:space="preserve">https://doi.org/10.1038/s41598-024-61199-9</w:t>
        </w:r>
      </w:hyperlink>
      <w:r>
        <w:t xml:space="preserve">.</w:t>
      </w:r>
    </w:p>
    <w:bookmarkEnd w:id="27"/>
    <w:bookmarkStart w:id="29" w:name="ref-devkota2024"/>
    <w:p>
      <w:pPr>
        <w:pStyle w:val="Bibliography"/>
      </w:pPr>
      <w:r>
        <w:t xml:space="preserve">Devkota, Kedar, Alice B. Ferreira, Thomas P. Timberlake, and Charles F. dos Santos. 2024.</w:t>
      </w:r>
      <w:r>
        <w:t xml:space="preserve"> </w:t>
      </w:r>
      <w:r>
        <w:t xml:space="preserve">“The Impact of Pollinator Decline on Global Protein Production: Implications for Livestock and Plant-Based Products.”</w:t>
      </w:r>
      <w:r>
        <w:t xml:space="preserve"> </w:t>
      </w:r>
      <w:r>
        <w:rPr>
          <w:i/>
          <w:iCs/>
        </w:rPr>
        <w:t xml:space="preserve">Global Ecology and Conservation</w:t>
      </w:r>
      <w:r>
        <w:t xml:space="preserve"> </w:t>
      </w:r>
      <w:r>
        <w:t xml:space="preserve">50 (April): e02815.</w:t>
      </w:r>
      <w:r>
        <w:t xml:space="preserve"> </w:t>
      </w:r>
      <w:hyperlink r:id="rId28">
        <w:r>
          <w:rPr>
            <w:rStyle w:val="Hyperlink"/>
          </w:rPr>
          <w:t xml:space="preserve">https://doi.org/10.1016/j.gecco.2024.e02815</w:t>
        </w:r>
      </w:hyperlink>
      <w:r>
        <w:t xml:space="preserve">.</w:t>
      </w:r>
    </w:p>
    <w:bookmarkEnd w:id="29"/>
    <w:bookmarkStart w:id="31" w:name="ref-engel2012"/>
    <w:p>
      <w:pPr>
        <w:pStyle w:val="Bibliography"/>
      </w:pPr>
      <w:r>
        <w:t xml:space="preserve">Engel, Philipp, Vincent G. Martinson, and Nancy A. Moran. 2012.</w:t>
      </w:r>
      <w:r>
        <w:t xml:space="preserve"> </w:t>
      </w:r>
      <w:r>
        <w:t xml:space="preserve">“Functional Diversity Within the Simple Gut Microbiota of the Honey Bee.”</w:t>
      </w:r>
      <w:r>
        <w:t xml:space="preserve"> </w:t>
      </w:r>
      <w:r>
        <w:rPr>
          <w:i/>
          <w:iCs/>
        </w:rPr>
        <w:t xml:space="preserve">Proceedings of the National Academy of Sciences</w:t>
      </w:r>
      <w:r>
        <w:t xml:space="preserve"> </w:t>
      </w:r>
      <w:r>
        <w:t xml:space="preserve">109 (27): 11002–7.</w:t>
      </w:r>
      <w:r>
        <w:t xml:space="preserve"> </w:t>
      </w:r>
      <w:hyperlink r:id="rId30">
        <w:r>
          <w:rPr>
            <w:rStyle w:val="Hyperlink"/>
          </w:rPr>
          <w:t xml:space="preserve">https://doi.org/10.1073/pnas.1202970109</w:t>
        </w:r>
      </w:hyperlink>
      <w:r>
        <w:t xml:space="preserve">.</w:t>
      </w:r>
    </w:p>
    <w:bookmarkEnd w:id="31"/>
    <w:bookmarkStart w:id="33" w:name="ref-Engel2013"/>
    <w:p>
      <w:pPr>
        <w:pStyle w:val="Bibliography"/>
      </w:pPr>
      <w:r>
        <w:t xml:space="preserve">Engel, Philipp, and Nancy A. Moran. 2013.</w:t>
      </w:r>
      <w:r>
        <w:t xml:space="preserve"> </w:t>
      </w:r>
      <w:r>
        <w:t xml:space="preserve">“The Gut Microbiota of Insects</w:t>
      </w:r>
      <w:r>
        <w:t xml:space="preserve"> </w:t>
      </w:r>
      <w:r>
        <w:t xml:space="preserve"> </w:t>
      </w:r>
      <w:r>
        <w:t xml:space="preserve">Diversity in Structure and Function.”</w:t>
      </w:r>
      <w:r>
        <w:t xml:space="preserve"> </w:t>
      </w:r>
      <w:r>
        <w:rPr>
          <w:i/>
          <w:iCs/>
        </w:rPr>
        <w:t xml:space="preserve">FEMS Microbiology Reviews</w:t>
      </w:r>
      <w:r>
        <w:t xml:space="preserve"> </w:t>
      </w:r>
      <w:r>
        <w:t xml:space="preserve">37 (5): 699–735.</w:t>
      </w:r>
      <w:r>
        <w:t xml:space="preserve"> </w:t>
      </w:r>
      <w:hyperlink r:id="rId32">
        <w:r>
          <w:rPr>
            <w:rStyle w:val="Hyperlink"/>
          </w:rPr>
          <w:t xml:space="preserve">https://doi.org/10.1111/1574-6976.12025</w:t>
        </w:r>
      </w:hyperlink>
      <w:r>
        <w:t xml:space="preserve">.</w:t>
      </w:r>
    </w:p>
    <w:bookmarkEnd w:id="33"/>
    <w:bookmarkStart w:id="35" w:name="ref-ferguson2018"/>
    <w:p>
      <w:pPr>
        <w:pStyle w:val="Bibliography"/>
      </w:pPr>
      <w:r>
        <w:t xml:space="preserve">Ferguson, Laura V., Pranav Dhakal, Jacqueline E. Lebenzon, David E. Heinrichs, Carol Bucking, and Brent J. Sinclair. 2018.</w:t>
      </w:r>
      <w:r>
        <w:t xml:space="preserve"> </w:t>
      </w:r>
      <w:r>
        <w:t xml:space="preserve">“Seasonal Shifts in the Insect Gut Microbiome Are Concurrent with Changes in Cold Tolerance and Immunity.”</w:t>
      </w:r>
      <w:r>
        <w:t xml:space="preserve"> </w:t>
      </w:r>
      <w:r>
        <w:t xml:space="preserve">Edited by Seth Barribeau.</w:t>
      </w:r>
      <w:r>
        <w:t xml:space="preserve"> </w:t>
      </w:r>
      <w:r>
        <w:rPr>
          <w:i/>
          <w:iCs/>
        </w:rPr>
        <w:t xml:space="preserve">Functional Ecology</w:t>
      </w:r>
      <w:r>
        <w:t xml:space="preserve"> </w:t>
      </w:r>
      <w:r>
        <w:t xml:space="preserve">32 (10): 2357–68.</w:t>
      </w:r>
      <w:r>
        <w:t xml:space="preserve"> </w:t>
      </w:r>
      <w:hyperlink r:id="rId34">
        <w:r>
          <w:rPr>
            <w:rStyle w:val="Hyperlink"/>
          </w:rPr>
          <w:t xml:space="preserve">https://doi.org/10.1111/1365-2435.13153</w:t>
        </w:r>
      </w:hyperlink>
      <w:r>
        <w:t xml:space="preserve">.</w:t>
      </w:r>
    </w:p>
    <w:bookmarkEnd w:id="35"/>
    <w:bookmarkStart w:id="37" w:name="ref-gérard2020"/>
    <w:p>
      <w:pPr>
        <w:pStyle w:val="Bibliography"/>
      </w:pPr>
      <w:r>
        <w:t xml:space="preserve">Gérard, Maxence, Maryse Vanderplanck, Thomas Wood, and Denis Michez. 2020.</w:t>
      </w:r>
      <w:r>
        <w:t xml:space="preserve"> </w:t>
      </w:r>
      <w:r>
        <w:t xml:space="preserve">“Global Warming and Plant</w:t>
      </w:r>
      <w:r>
        <w:t xml:space="preserve">pollinator Mismatches.”</w:t>
      </w:r>
      <w:r>
        <w:t xml:space="preserve"> </w:t>
      </w:r>
      <w:r>
        <w:t xml:space="preserve">Edited by Alison Scott-Brown and Hauke Koch.</w:t>
      </w:r>
      <w:r>
        <w:t xml:space="preserve"> </w:t>
      </w:r>
      <w:r>
        <w:rPr>
          <w:i/>
          <w:iCs/>
        </w:rPr>
        <w:t xml:space="preserve">Emerging Topics in Life Sciences</w:t>
      </w:r>
      <w:r>
        <w:t xml:space="preserve"> </w:t>
      </w:r>
      <w:r>
        <w:t xml:space="preserve">4 (1): 77–86.</w:t>
      </w:r>
      <w:r>
        <w:t xml:space="preserve"> </w:t>
      </w:r>
      <w:hyperlink r:id="rId36">
        <w:r>
          <w:rPr>
            <w:rStyle w:val="Hyperlink"/>
          </w:rPr>
          <w:t xml:space="preserve">https://doi.org/10.1042/etls20190139</w:t>
        </w:r>
      </w:hyperlink>
      <w:r>
        <w:t xml:space="preserve">.</w:t>
      </w:r>
    </w:p>
    <w:bookmarkEnd w:id="37"/>
    <w:bookmarkStart w:id="39" w:name="ref-guzman2024"/>
    <w:p>
      <w:pPr>
        <w:pStyle w:val="Bibliography"/>
      </w:pPr>
      <w:r>
        <w:t xml:space="preserve">Guzman, Laura Melissa, Elizabeth Elle, Lora A. Morandin, Neil S. Cobb, Paige R. Chesshire, Lindsie M. McCabe, Alice Hughes, Michael Orr, and Leithen K. M’Gonigle. 2024.</w:t>
      </w:r>
      <w:r>
        <w:t xml:space="preserve"> </w:t>
      </w:r>
      <w:r>
        <w:t xml:space="preserve">“Impact of Pesticide Use on Wild Bee Distributions Across the United States.”</w:t>
      </w:r>
      <w:r>
        <w:t xml:space="preserve"> </w:t>
      </w:r>
      <w:r>
        <w:rPr>
          <w:i/>
          <w:iCs/>
        </w:rPr>
        <w:t xml:space="preserve">Nature Sustainability</w:t>
      </w:r>
      <w:r>
        <w:t xml:space="preserve"> </w:t>
      </w:r>
      <w:r>
        <w:t xml:space="preserve">7 (10): 1324–34.</w:t>
      </w:r>
      <w:r>
        <w:t xml:space="preserve"> </w:t>
      </w:r>
      <w:hyperlink r:id="rId38">
        <w:r>
          <w:rPr>
            <w:rStyle w:val="Hyperlink"/>
          </w:rPr>
          <w:t xml:space="preserve">https://doi.org/10.1038/s41893-024-01413-8</w:t>
        </w:r>
      </w:hyperlink>
      <w:r>
        <w:t xml:space="preserve">.</w:t>
      </w:r>
    </w:p>
    <w:bookmarkEnd w:id="39"/>
    <w:bookmarkStart w:id="41" w:name="ref-iNEXT"/>
    <w:p>
      <w:pPr>
        <w:pStyle w:val="Bibliography"/>
      </w:pPr>
      <w:r>
        <w:t xml:space="preserve">Hsieh, T. C., K. H. Ma, and Anne Chao. 2024.</w:t>
      </w:r>
      <w:r>
        <w:t xml:space="preserve"> </w:t>
      </w:r>
      <w:r>
        <w:t xml:space="preserve">“iNEXT: Interpolation and Extrapolation for Species Diversity.”</w:t>
      </w:r>
      <w:r>
        <w:t xml:space="preserve"> </w:t>
      </w:r>
      <w:hyperlink r:id="rId40">
        <w:r>
          <w:rPr>
            <w:rStyle w:val="Hyperlink"/>
          </w:rPr>
          <w:t xml:space="preserve">http://chao.stat.nthu.edu.tw/wordpress/software_download/</w:t>
        </w:r>
      </w:hyperlink>
      <w:r>
        <w:t xml:space="preserve">.</w:t>
      </w:r>
    </w:p>
    <w:bookmarkEnd w:id="41"/>
    <w:bookmarkStart w:id="43" w:name="ref-klein2006"/>
    <w:p>
      <w:pPr>
        <w:pStyle w:val="Bibliography"/>
      </w:pPr>
      <w:r>
        <w:t xml:space="preserve">Klein, Alexandra-Maria, Bernard E Vaissière, James H Cane, Ingolf Steffan-Dewenter, Saul A Cunningham, Claire Kremen, and Teja Tscharntke. 2006.</w:t>
      </w:r>
      <w:r>
        <w:t xml:space="preserve"> </w:t>
      </w:r>
      <w:r>
        <w:t xml:space="preserve">“Importance of Pollinators in Changing Landscapes for World Crops.”</w:t>
      </w:r>
      <w:r>
        <w:t xml:space="preserve"> </w:t>
      </w:r>
      <w:r>
        <w:rPr>
          <w:i/>
          <w:iCs/>
        </w:rPr>
        <w:t xml:space="preserve">Proceedings of the Royal Society B: Biological Sciences</w:t>
      </w:r>
      <w:r>
        <w:t xml:space="preserve"> </w:t>
      </w:r>
      <w:r>
        <w:t xml:space="preserve">274 (1608): 303–13.</w:t>
      </w:r>
      <w:r>
        <w:t xml:space="preserve"> </w:t>
      </w:r>
      <w:hyperlink r:id="rId42">
        <w:r>
          <w:rPr>
            <w:rStyle w:val="Hyperlink"/>
          </w:rPr>
          <w:t xml:space="preserve">https://doi.org/10.1098/rspb.2006.3721</w:t>
        </w:r>
      </w:hyperlink>
      <w:r>
        <w:t xml:space="preserve">.</w:t>
      </w:r>
    </w:p>
    <w:bookmarkEnd w:id="43"/>
    <w:bookmarkStart w:id="45" w:name="ref-koch2011"/>
    <w:p>
      <w:pPr>
        <w:pStyle w:val="Bibliography"/>
      </w:pPr>
      <w:r>
        <w:t xml:space="preserve">Koch, Hauke, and Paul Schmid-Hempel. 2011.</w:t>
      </w:r>
      <w:r>
        <w:t xml:space="preserve"> </w:t>
      </w:r>
      <w:r>
        <w:t xml:space="preserve">“Socially Transmitted Gut Microbiota Protect Bumble Bees Against an Intestinal Parasite.”</w:t>
      </w:r>
      <w:r>
        <w:t xml:space="preserve"> </w:t>
      </w:r>
      <w:r>
        <w:rPr>
          <w:i/>
          <w:iCs/>
        </w:rPr>
        <w:t xml:space="preserve">Proceedings of the National Academy of Sciences</w:t>
      </w:r>
      <w:r>
        <w:t xml:space="preserve"> </w:t>
      </w:r>
      <w:r>
        <w:t xml:space="preserve">108 (48): 19288–92.</w:t>
      </w:r>
      <w:r>
        <w:t xml:space="preserve"> </w:t>
      </w:r>
      <w:hyperlink r:id="rId44">
        <w:r>
          <w:rPr>
            <w:rStyle w:val="Hyperlink"/>
          </w:rPr>
          <w:t xml:space="preserve">https://doi.org/10.1073/pnas.1110474108</w:t>
        </w:r>
      </w:hyperlink>
      <w:r>
        <w:t xml:space="preserve">.</w:t>
      </w:r>
    </w:p>
    <w:bookmarkEnd w:id="45"/>
    <w:bookmarkStart w:id="47" w:name="ref-li2023"/>
    <w:p>
      <w:pPr>
        <w:pStyle w:val="Bibliography"/>
      </w:pPr>
      <w:r>
        <w:t xml:space="preserve">Li, Jilian, Logan Sauers, Daohua Zhuang, Haiqing Ren, Jun Guo, Liuhao Wang, Mingsheng Zhuang, et al. 2023.</w:t>
      </w:r>
      <w:r>
        <w:t xml:space="preserve"> </w:t>
      </w:r>
      <w:r>
        <w:t xml:space="preserve">“Divergence and Convergence of Gut Microbiomes of Wild Insect Pollinators.”</w:t>
      </w:r>
      <w:r>
        <w:t xml:space="preserve"> </w:t>
      </w:r>
      <w:r>
        <w:t xml:space="preserve">Edited by Margaret J. McFall-Ngai and William Ludington.</w:t>
      </w:r>
      <w:r>
        <w:t xml:space="preserve"> </w:t>
      </w:r>
      <w:r>
        <w:rPr>
          <w:i/>
          <w:iCs/>
        </w:rPr>
        <w:t xml:space="preserve">mBio</w:t>
      </w:r>
      <w:r>
        <w:t xml:space="preserve">, July.</w:t>
      </w:r>
      <w:r>
        <w:t xml:space="preserve"> </w:t>
      </w:r>
      <w:hyperlink r:id="rId46">
        <w:r>
          <w:rPr>
            <w:rStyle w:val="Hyperlink"/>
          </w:rPr>
          <w:t xml:space="preserve">https://doi.org/10.1128/mbio.01270-23</w:t>
        </w:r>
      </w:hyperlink>
      <w:r>
        <w:t xml:space="preserve">.</w:t>
      </w:r>
    </w:p>
    <w:bookmarkEnd w:id="47"/>
    <w:bookmarkStart w:id="49" w:name="ref-ludvigsen2015"/>
    <w:p>
      <w:pPr>
        <w:pStyle w:val="Bibliography"/>
      </w:pPr>
      <w:r>
        <w:t xml:space="preserve">Ludvigsen, Jane, Anbjørg Rangberg, Ekaterina Avershina, Monika Sekelja, Claus Kreibich, Gro Amdam, and Knut Rudi. 2015.</w:t>
      </w:r>
      <w:r>
        <w:t xml:space="preserve"> </w:t>
      </w:r>
      <w:r>
        <w:t xml:space="preserve">“Shifts in the Midgut/Pyloric Microbiota Composition Within a Honey Bee Apiary Throughout a Season.”</w:t>
      </w:r>
      <w:r>
        <w:t xml:space="preserve"> </w:t>
      </w:r>
      <w:r>
        <w:rPr>
          <w:i/>
          <w:iCs/>
        </w:rPr>
        <w:t xml:space="preserve">Microbes and Environments</w:t>
      </w:r>
      <w:r>
        <w:t xml:space="preserve"> </w:t>
      </w:r>
      <w:r>
        <w:t xml:space="preserve">30 (3): 235–44.</w:t>
      </w:r>
      <w:r>
        <w:t xml:space="preserve"> </w:t>
      </w:r>
      <w:hyperlink r:id="rId48">
        <w:r>
          <w:rPr>
            <w:rStyle w:val="Hyperlink"/>
          </w:rPr>
          <w:t xml:space="preserve">https://doi.org/10.1264/jsme2.me15019</w:t>
        </w:r>
      </w:hyperlink>
      <w:r>
        <w:t xml:space="preserve">.</w:t>
      </w:r>
    </w:p>
    <w:bookmarkEnd w:id="49"/>
    <w:bookmarkStart w:id="51" w:name="ref-maes2016"/>
    <w:p>
      <w:pPr>
        <w:pStyle w:val="Bibliography"/>
      </w:pPr>
      <w:r>
        <w:t xml:space="preserve">Maes, Patrick W., Pedro A. P. Rodrigues, Randy Oliver, Brendon M. Mott, and Kirk E. Anderson. 2016.</w:t>
      </w:r>
      <w:r>
        <w:t xml:space="preserve"> </w:t>
      </w:r>
      <w:r>
        <w:t xml:space="preserve">“Diet</w:t>
      </w:r>
      <w:r>
        <w:t xml:space="preserve">-</w:t>
      </w:r>
      <w:r>
        <w:t xml:space="preserve">Related Gut Bacterial Dysbiosis Correlates with Impaired Development, Increased Mortality and Nosema Disease in the Honeybee (</w:t>
      </w:r>
      <w:r>
        <w:rPr>
          <w:i/>
          <w:iCs/>
        </w:rPr>
        <w:t xml:space="preserve">Apis Mellifera</w:t>
      </w:r>
      <w:r>
        <w:t xml:space="preserve">).”</w:t>
      </w:r>
      <w:r>
        <w:t xml:space="preserve"> </w:t>
      </w:r>
      <w:r>
        <w:rPr>
          <w:i/>
          <w:iCs/>
        </w:rPr>
        <w:t xml:space="preserve">Molecular Ecology</w:t>
      </w:r>
      <w:r>
        <w:t xml:space="preserve"> </w:t>
      </w:r>
      <w:r>
        <w:t xml:space="preserve">25 (21): 5439–50.</w:t>
      </w:r>
      <w:r>
        <w:t xml:space="preserve"> </w:t>
      </w:r>
      <w:hyperlink r:id="rId50">
        <w:r>
          <w:rPr>
            <w:rStyle w:val="Hyperlink"/>
          </w:rPr>
          <w:t xml:space="preserve">https://doi.org/10.1111/mec.13862</w:t>
        </w:r>
      </w:hyperlink>
      <w:r>
        <w:t xml:space="preserve">.</w:t>
      </w:r>
    </w:p>
    <w:bookmarkEnd w:id="51"/>
    <w:bookmarkStart w:id="53" w:name="ref-manley2015"/>
    <w:p>
      <w:pPr>
        <w:pStyle w:val="Bibliography"/>
      </w:pPr>
      <w:r>
        <w:t xml:space="preserve">Manley, Robyn, Mike Boots, and Lena Wilfert. 2015.</w:t>
      </w:r>
      <w:r>
        <w:t xml:space="preserve"> </w:t>
      </w:r>
      <w:r>
        <w:t xml:space="preserve">“REVIEW: Emerging Viral Disease Risk to Pollinating Insects: Ecological, Evolutionary and Anthropogenic Factors.”</w:t>
      </w:r>
      <w:r>
        <w:t xml:space="preserve"> </w:t>
      </w:r>
      <w:r>
        <w:t xml:space="preserve">Edited by Ian Kaplan.</w:t>
      </w:r>
      <w:r>
        <w:t xml:space="preserve"> </w:t>
      </w:r>
      <w:r>
        <w:rPr>
          <w:i/>
          <w:iCs/>
        </w:rPr>
        <w:t xml:space="preserve">Journal of Applied Ecology</w:t>
      </w:r>
      <w:r>
        <w:t xml:space="preserve"> </w:t>
      </w:r>
      <w:r>
        <w:t xml:space="preserve">52 (2): 331–40.</w:t>
      </w:r>
      <w:r>
        <w:t xml:space="preserve"> </w:t>
      </w:r>
      <w:hyperlink r:id="rId52">
        <w:r>
          <w:rPr>
            <w:rStyle w:val="Hyperlink"/>
          </w:rPr>
          <w:t xml:space="preserve">https://doi.org/10.1111/1365-2664.12385</w:t>
        </w:r>
      </w:hyperlink>
      <w:r>
        <w:t xml:space="preserve">.</w:t>
      </w:r>
    </w:p>
    <w:bookmarkEnd w:id="53"/>
    <w:bookmarkStart w:id="55" w:name="ref-martinson2010"/>
    <w:p>
      <w:pPr>
        <w:pStyle w:val="Bibliography"/>
      </w:pPr>
      <w:r>
        <w:t xml:space="preserve">MARTINSON, VINCENT G., BRYAN N. DANFORTH, ROBERT L. MINCKLEY, OLAV RUEPPELL, SALIM TINGEK, and NANCY A. MORAN. 2010.</w:t>
      </w:r>
      <w:r>
        <w:t xml:space="preserve"> </w:t>
      </w:r>
      <w:r>
        <w:t xml:space="preserve">“A Simple and Distinctive Microbiota Associated with Honey Bees and Bumble Bees.”</w:t>
      </w:r>
      <w:r>
        <w:t xml:space="preserve"> </w:t>
      </w:r>
      <w:r>
        <w:rPr>
          <w:i/>
          <w:iCs/>
        </w:rPr>
        <w:t xml:space="preserve">Molecular Ecology</w:t>
      </w:r>
      <w:r>
        <w:t xml:space="preserve"> </w:t>
      </w:r>
      <w:r>
        <w:t xml:space="preserve">20 (3): 619–28.</w:t>
      </w:r>
      <w:r>
        <w:t xml:space="preserve"> </w:t>
      </w:r>
      <w:hyperlink r:id="rId54">
        <w:r>
          <w:rPr>
            <w:rStyle w:val="Hyperlink"/>
          </w:rPr>
          <w:t xml:space="preserve">https://doi.org/10.1111/j.1365-294x.2010.04959.x</w:t>
        </w:r>
      </w:hyperlink>
      <w:r>
        <w:t xml:space="preserve">.</w:t>
      </w:r>
    </w:p>
    <w:bookmarkEnd w:id="55"/>
    <w:bookmarkStart w:id="57" w:name="ref-miller-struttmann2015"/>
    <w:p>
      <w:pPr>
        <w:pStyle w:val="Bibliography"/>
      </w:pPr>
      <w:r>
        <w:t xml:space="preserve">Miller-Struttmann, Nicole E., Jennifer C. Geib, James D. Franklin, Peter G. Kevan, Ricardo M. Holdo, Diane Ebert-May, Austin M. Lynn, Jessica A. Kettenbach, Elizabeth Hedrick, and Candace Galen. 2015.</w:t>
      </w:r>
      <w:r>
        <w:t xml:space="preserve"> </w:t>
      </w:r>
      <w:r>
        <w:t xml:space="preserve">“Functional Mismatch in a Bumble Bee Pollination Mutualism Under Climate Change.”</w:t>
      </w:r>
      <w:r>
        <w:t xml:space="preserve"> </w:t>
      </w:r>
      <w:r>
        <w:rPr>
          <w:i/>
          <w:iCs/>
        </w:rPr>
        <w:t xml:space="preserve">Science</w:t>
      </w:r>
      <w:r>
        <w:t xml:space="preserve"> </w:t>
      </w:r>
      <w:r>
        <w:t xml:space="preserve">349 (6255): 1541–44.</w:t>
      </w:r>
      <w:r>
        <w:t xml:space="preserve"> </w:t>
      </w:r>
      <w:hyperlink r:id="rId56">
        <w:r>
          <w:rPr>
            <w:rStyle w:val="Hyperlink"/>
          </w:rPr>
          <w:t xml:space="preserve">https://doi.org/10.1126/science.aab0868</w:t>
        </w:r>
      </w:hyperlink>
      <w:r>
        <w:t xml:space="preserve">.</w:t>
      </w:r>
    </w:p>
    <w:bookmarkEnd w:id="57"/>
    <w:bookmarkStart w:id="59" w:name="ref-murphy2022"/>
    <w:p>
      <w:pPr>
        <w:pStyle w:val="Bibliography"/>
      </w:pPr>
      <w:r>
        <w:t xml:space="preserve">Murphy, James T., Tom D. Breeze, Bryony Willcox, Saorla Kavanagh, and Jane C. Stout. 2022.</w:t>
      </w:r>
      <w:r>
        <w:t xml:space="preserve"> </w:t>
      </w:r>
      <w:r>
        <w:t xml:space="preserve">“Globalisation and Pollinators: Pollinator Declines Are an Economic Threat to Global Food Systems.”</w:t>
      </w:r>
      <w:r>
        <w:t xml:space="preserve"> </w:t>
      </w:r>
      <w:r>
        <w:rPr>
          <w:i/>
          <w:iCs/>
        </w:rPr>
        <w:t xml:space="preserve">People and Nature</w:t>
      </w:r>
      <w:r>
        <w:t xml:space="preserve"> </w:t>
      </w:r>
      <w:r>
        <w:t xml:space="preserve">4 (3): 773–85.</w:t>
      </w:r>
      <w:r>
        <w:t xml:space="preserve"> </w:t>
      </w:r>
      <w:hyperlink r:id="rId58">
        <w:r>
          <w:rPr>
            <w:rStyle w:val="Hyperlink"/>
          </w:rPr>
          <w:t xml:space="preserve">https://doi.org/10.1002/pan3.10314</w:t>
        </w:r>
      </w:hyperlink>
      <w:r>
        <w:t xml:space="preserve">.</w:t>
      </w:r>
    </w:p>
    <w:bookmarkEnd w:id="59"/>
    <w:bookmarkStart w:id="61" w:name="ref-neu2021"/>
    <w:p>
      <w:pPr>
        <w:pStyle w:val="Bibliography"/>
      </w:pPr>
      <w:r>
        <w:t xml:space="preserve">Neu, Alexander T., Eric E. Allen, and Kaustuv Roy. 2021.</w:t>
      </w:r>
      <w:r>
        <w:t xml:space="preserve"> </w:t>
      </w:r>
      <w:r>
        <w:t xml:space="preserve">“Defining and Quantifying the Core Microbiome: Challenges and Prospects.”</w:t>
      </w:r>
      <w:r>
        <w:t xml:space="preserve"> </w:t>
      </w:r>
      <w:r>
        <w:rPr>
          <w:i/>
          <w:iCs/>
        </w:rPr>
        <w:t xml:space="preserve">Proceedings of the National Academy of Sciences</w:t>
      </w:r>
      <w:r>
        <w:t xml:space="preserve"> </w:t>
      </w:r>
      <w:r>
        <w:t xml:space="preserve">118 (51).</w:t>
      </w:r>
      <w:r>
        <w:t xml:space="preserve"> </w:t>
      </w:r>
      <w:hyperlink r:id="rId60">
        <w:r>
          <w:rPr>
            <w:rStyle w:val="Hyperlink"/>
          </w:rPr>
          <w:t xml:space="preserve">https://doi.org/10.1073/pnas.2104429118</w:t>
        </w:r>
      </w:hyperlink>
      <w:r>
        <w:t xml:space="preserve">.</w:t>
      </w:r>
    </w:p>
    <w:bookmarkEnd w:id="61"/>
    <w:bookmarkStart w:id="63" w:name="ref-vegan"/>
    <w:p>
      <w:pPr>
        <w:pStyle w:val="Bibliography"/>
      </w:pPr>
      <w:r>
        <w:t xml:space="preserve">Oksanen, Jari, Gavin L. Simpson, F. Guillaume Blanchet, Roeland Kindt, Pierre Legendre, Peter R. Minchin, R. B. O’Hara, et al. 2024.</w:t>
      </w:r>
      <w:r>
        <w:t xml:space="preserve"> </w:t>
      </w:r>
      <w:r>
        <w:t xml:space="preserve">“Vegan: Community Ecology Package.”</w:t>
      </w:r>
      <w:r>
        <w:t xml:space="preserve"> </w:t>
      </w:r>
      <w:hyperlink r:id="rId62">
        <w:r>
          <w:rPr>
            <w:rStyle w:val="Hyperlink"/>
          </w:rPr>
          <w:t xml:space="preserve">https://CRAN.R-project.org/package=vegan</w:t>
        </w:r>
      </w:hyperlink>
      <w:r>
        <w:t xml:space="preserve">.</w:t>
      </w:r>
    </w:p>
    <w:bookmarkEnd w:id="63"/>
    <w:bookmarkStart w:id="65" w:name="ref-ollerton2011"/>
    <w:p>
      <w:pPr>
        <w:pStyle w:val="Bibliography"/>
      </w:pPr>
      <w:r>
        <w:t xml:space="preserve">Ollerton, Jeff, Rachael Winfree, and Sam Tarrant. 2011.</w:t>
      </w:r>
      <w:r>
        <w:t xml:space="preserve"> </w:t>
      </w:r>
      <w:r>
        <w:t xml:space="preserve">“How Many Flowering Plants Are Pollinated by Animals?”</w:t>
      </w:r>
      <w:r>
        <w:t xml:space="preserve"> </w:t>
      </w:r>
      <w:r>
        <w:rPr>
          <w:i/>
          <w:iCs/>
        </w:rPr>
        <w:t xml:space="preserve">Oikos</w:t>
      </w:r>
      <w:r>
        <w:t xml:space="preserve"> </w:t>
      </w:r>
      <w:r>
        <w:t xml:space="preserve">120 (3): 321–26.</w:t>
      </w:r>
      <w:r>
        <w:t xml:space="preserve"> </w:t>
      </w:r>
      <w:hyperlink r:id="rId64">
        <w:r>
          <w:rPr>
            <w:rStyle w:val="Hyperlink"/>
          </w:rPr>
          <w:t xml:space="preserve">https://doi.org/10.1111/j.1600-0706.2010.18644.x</w:t>
        </w:r>
      </w:hyperlink>
      <w:r>
        <w:t xml:space="preserve">.</w:t>
      </w:r>
    </w:p>
    <w:bookmarkEnd w:id="65"/>
    <w:bookmarkStart w:id="67" w:name="ref-Pizarro2021"/>
    <w:p>
      <w:pPr>
        <w:pStyle w:val="Bibliography"/>
      </w:pPr>
      <w:r>
        <w:t xml:space="preserve">Pizarro, Manuel, Diego Hernangómez, and Gema Fernández-Avilés. 2021.</w:t>
      </w:r>
      <w:r>
        <w:t xml:space="preserve"> </w:t>
      </w:r>
      <w:r>
        <w:t xml:space="preserve">“Climaemet: Climate AEMET Tools,”</w:t>
      </w:r>
      <w:r>
        <w:t xml:space="preserve"> </w:t>
      </w:r>
      <w:r>
        <w:t xml:space="preserve">September.</w:t>
      </w:r>
      <w:r>
        <w:t xml:space="preserve"> </w:t>
      </w:r>
      <w:hyperlink r:id="rId66">
        <w:r>
          <w:rPr>
            <w:rStyle w:val="Hyperlink"/>
          </w:rPr>
          <w:t xml:space="preserve">https://doi.org/10.5281/ZENODO.5512237</w:t>
        </w:r>
      </w:hyperlink>
      <w:r>
        <w:t xml:space="preserve">.</w:t>
      </w:r>
    </w:p>
    <w:bookmarkEnd w:id="67"/>
    <w:bookmarkStart w:id="69" w:name="ref-risely2020"/>
    <w:p>
      <w:pPr>
        <w:pStyle w:val="Bibliography"/>
      </w:pPr>
      <w:r>
        <w:t xml:space="preserve">Risely, Alice. 2020.</w:t>
      </w:r>
      <w:r>
        <w:t xml:space="preserve"> </w:t>
      </w:r>
      <w:r>
        <w:t xml:space="preserve">“Applying the Core Microbiome to Understand Host</w:t>
      </w:r>
      <w:r>
        <w:t xml:space="preserve">microbe Systems.”</w:t>
      </w:r>
      <w:r>
        <w:t xml:space="preserve"> </w:t>
      </w:r>
      <w:r>
        <w:t xml:space="preserve">Edited by Ann Tate.</w:t>
      </w:r>
      <w:r>
        <w:t xml:space="preserve"> </w:t>
      </w:r>
      <w:r>
        <w:rPr>
          <w:i/>
          <w:iCs/>
        </w:rPr>
        <w:t xml:space="preserve">Journal of Animal Ecology</w:t>
      </w:r>
      <w:r>
        <w:t xml:space="preserve"> </w:t>
      </w:r>
      <w:r>
        <w:t xml:space="preserve">89 (7): 1549–58.</w:t>
      </w:r>
      <w:r>
        <w:t xml:space="preserve"> </w:t>
      </w:r>
      <w:hyperlink r:id="rId68">
        <w:r>
          <w:rPr>
            <w:rStyle w:val="Hyperlink"/>
          </w:rPr>
          <w:t xml:space="preserve">https://doi.org/10.1111/1365-2656.13229</w:t>
        </w:r>
      </w:hyperlink>
      <w:r>
        <w:t xml:space="preserve">.</w:t>
      </w:r>
    </w:p>
    <w:bookmarkEnd w:id="69"/>
    <w:bookmarkStart w:id="71" w:name="ref-shah2024"/>
    <w:p>
      <w:pPr>
        <w:pStyle w:val="Bibliography"/>
      </w:pPr>
      <w:r>
        <w:t xml:space="preserve">Shah, Sakhawat, Muhammad Ilyas, Sufen Bian, and Feng-Lian Yang. 2024.</w:t>
      </w:r>
      <w:r>
        <w:t xml:space="preserve"> </w:t>
      </w:r>
      <w:r>
        <w:t xml:space="preserve">“Discussion: Harnessing Microbiome-Mediated Adaptations in Insect Pollinators to Mitigate Climate Change Impact on Crop Pollination.”</w:t>
      </w:r>
      <w:r>
        <w:t xml:space="preserve"> </w:t>
      </w:r>
      <w:r>
        <w:rPr>
          <w:i/>
          <w:iCs/>
        </w:rPr>
        <w:t xml:space="preserve">Science of The Total Environment</w:t>
      </w:r>
      <w:r>
        <w:t xml:space="preserve"> </w:t>
      </w:r>
      <w:r>
        <w:t xml:space="preserve">915 (March): 170145.</w:t>
      </w:r>
      <w:r>
        <w:t xml:space="preserve"> </w:t>
      </w:r>
      <w:hyperlink r:id="rId70">
        <w:r>
          <w:rPr>
            <w:rStyle w:val="Hyperlink"/>
          </w:rPr>
          <w:t xml:space="preserve">https://doi.org/10.1016/j.scitotenv.2024.170145</w:t>
        </w:r>
      </w:hyperlink>
      <w:r>
        <w:t xml:space="preserve">.</w:t>
      </w:r>
    </w:p>
    <w:bookmarkEnd w:id="71"/>
    <w:bookmarkStart w:id="73" w:name="ref-steele2021"/>
    <w:p>
      <w:pPr>
        <w:pStyle w:val="Bibliography"/>
      </w:pPr>
      <w:r>
        <w:t xml:space="preserve">Steele, Margaret I., Erick V. S. Motta, Tejashwini Gattu, Daniel Martinez, and Nancy A. Moran. 2021.</w:t>
      </w:r>
      <w:r>
        <w:t xml:space="preserve"> </w:t>
      </w:r>
      <w:r>
        <w:t xml:space="preserve">“The Gut Microbiota Protects Bees from Invasion by a Bacterial Pathogen.”</w:t>
      </w:r>
      <w:r>
        <w:t xml:space="preserve"> </w:t>
      </w:r>
      <w:r>
        <w:t xml:space="preserve">Edited by Soo Chan Lee.</w:t>
      </w:r>
      <w:r>
        <w:t xml:space="preserve"> </w:t>
      </w:r>
      <w:r>
        <w:rPr>
          <w:i/>
          <w:iCs/>
        </w:rPr>
        <w:t xml:space="preserve">Microbiology Spectrum</w:t>
      </w:r>
      <w:r>
        <w:t xml:space="preserve"> </w:t>
      </w:r>
      <w:r>
        <w:t xml:space="preserve">9 (2).</w:t>
      </w:r>
      <w:r>
        <w:t xml:space="preserve"> </w:t>
      </w:r>
      <w:hyperlink r:id="rId72">
        <w:r>
          <w:rPr>
            <w:rStyle w:val="Hyperlink"/>
          </w:rPr>
          <w:t xml:space="preserve">https://doi.org/10.1128/spectrum.00394-21</w:t>
        </w:r>
      </w:hyperlink>
      <w:r>
        <w:t xml:space="preserve">.</w:t>
      </w:r>
    </w:p>
    <w:bookmarkEnd w:id="73"/>
    <w:bookmarkStart w:id="75" w:name="ref-stemet2024"/>
    <w:p>
      <w:pPr>
        <w:pStyle w:val="Bibliography"/>
      </w:pPr>
      <w:r>
        <w:t xml:space="preserve">Stemet, Lilia, David J. Biddinger, Kusum Naithani, Allen L. Szalanski, and Neelendra Joshi. 2024.</w:t>
      </w:r>
      <w:r>
        <w:t xml:space="preserve"> </w:t>
      </w:r>
      <w:r>
        <w:t xml:space="preserve">“Intertegular Distance of Wild Bees and Its Use in Estimating Proboscis Lengths and Foraging Ranges to Better Understand Bee Conservation Ecology.”</w:t>
      </w:r>
      <w:r>
        <w:t xml:space="preserve"> </w:t>
      </w:r>
      <w:hyperlink r:id="rId74">
        <w:r>
          <w:rPr>
            <w:rStyle w:val="Hyperlink"/>
          </w:rPr>
          <w:t xml:space="preserve">http://dx.doi.org/10.2139/ssrn.4877884</w:t>
        </w:r>
      </w:hyperlink>
      <w:r>
        <w:t xml:space="preserve">.</w:t>
      </w:r>
    </w:p>
    <w:bookmarkEnd w:id="75"/>
    <w:bookmarkStart w:id="77" w:name="ref-vanbergen2017"/>
    <w:p>
      <w:pPr>
        <w:pStyle w:val="Bibliography"/>
      </w:pPr>
      <w:r>
        <w:t xml:space="preserve">Vanbergen, Adam J., Anahí Espíndola, and Marcelo A. Aizen. 2017.</w:t>
      </w:r>
      <w:r>
        <w:t xml:space="preserve"> </w:t>
      </w:r>
      <w:r>
        <w:t xml:space="preserve">“Risks to Pollinators and Pollination from Invasive Alien Species.”</w:t>
      </w:r>
      <w:r>
        <w:t xml:space="preserve"> </w:t>
      </w:r>
      <w:r>
        <w:rPr>
          <w:i/>
          <w:iCs/>
        </w:rPr>
        <w:t xml:space="preserve">Nature Ecology &amp; Evolution</w:t>
      </w:r>
      <w:r>
        <w:t xml:space="preserve"> </w:t>
      </w:r>
      <w:r>
        <w:t xml:space="preserve">2 (1): 16–25.</w:t>
      </w:r>
      <w:r>
        <w:t xml:space="preserve"> </w:t>
      </w:r>
      <w:hyperlink r:id="rId76">
        <w:r>
          <w:rPr>
            <w:rStyle w:val="Hyperlink"/>
          </w:rPr>
          <w:t xml:space="preserve">https://doi.org/10.1038/s41559-017-0412-3</w:t>
        </w:r>
      </w:hyperlink>
      <w:r>
        <w:t xml:space="preserve">.</w:t>
      </w:r>
    </w:p>
    <w:bookmarkEnd w:id="77"/>
    <w:bookmarkStart w:id="79" w:name="ref-wagner2021"/>
    <w:p>
      <w:pPr>
        <w:pStyle w:val="Bibliography"/>
      </w:pPr>
      <w:r>
        <w:t xml:space="preserve">Wagner, David L., Eliza M. Grames, Matthew L. Forister, May R. Berenbaum, and David Stopak. 2021.</w:t>
      </w:r>
      <w:r>
        <w:t xml:space="preserve"> </w:t>
      </w:r>
      <w:r>
        <w:t xml:space="preserve">“Insect Decline in the Anthropocene: Death by a Thousand Cuts.”</w:t>
      </w:r>
      <w:r>
        <w:t xml:space="preserve"> </w:t>
      </w:r>
      <w:r>
        <w:rPr>
          <w:i/>
          <w:iCs/>
        </w:rPr>
        <w:t xml:space="preserve">Proceedings of the National Academy of Sciences</w:t>
      </w:r>
      <w:r>
        <w:t xml:space="preserve"> </w:t>
      </w:r>
      <w:r>
        <w:t xml:space="preserve">118 (2).</w:t>
      </w:r>
      <w:r>
        <w:t xml:space="preserve"> </w:t>
      </w:r>
      <w:hyperlink r:id="rId78">
        <w:r>
          <w:rPr>
            <w:rStyle w:val="Hyperlink"/>
          </w:rPr>
          <w:t xml:space="preserve">https://doi.org/10.1073/pnas.2023989118</w:t>
        </w:r>
      </w:hyperlink>
      <w:r>
        <w:t xml:space="preserve">.</w:t>
      </w:r>
    </w:p>
    <w:bookmarkEnd w:id="79"/>
    <w:bookmarkStart w:id="81" w:name="ref-weinhold2024"/>
    <w:p>
      <w:pPr>
        <w:pStyle w:val="Bibliography"/>
      </w:pPr>
      <w:r>
        <w:t xml:space="preserve">Weinhold, Arne, Elisabeth Grüner, and Alexander Keller. 2024.</w:t>
      </w:r>
      <w:r>
        <w:t xml:space="preserve"> </w:t>
      </w:r>
      <w:r>
        <w:t xml:space="preserve">“Bumble Bee Microbiota Shows Temporal Succession and Increase of Lactic Acid Bacteria When Exposed to Outdoor Environments.”</w:t>
      </w:r>
      <w:r>
        <w:t xml:space="preserve"> </w:t>
      </w:r>
      <w:r>
        <w:rPr>
          <w:i/>
          <w:iCs/>
        </w:rPr>
        <w:t xml:space="preserve">Frontiers in Cellular and Infection Microbiology</w:t>
      </w:r>
      <w:r>
        <w:t xml:space="preserve"> </w:t>
      </w:r>
      <w:r>
        <w:t xml:space="preserve">14 (March).</w:t>
      </w:r>
      <w:r>
        <w:t xml:space="preserve"> </w:t>
      </w:r>
      <w:hyperlink r:id="rId80">
        <w:r>
          <w:rPr>
            <w:rStyle w:val="Hyperlink"/>
          </w:rPr>
          <w:t xml:space="preserve">https://doi.org/10.3389/fcimb.2024.1342781</w:t>
        </w:r>
      </w:hyperlink>
      <w:r>
        <w:t xml:space="preserve">.</w:t>
      </w:r>
    </w:p>
    <w:bookmarkEnd w:id="81"/>
    <w:bookmarkStart w:id="83" w:name="ref-winfree2009"/>
    <w:p>
      <w:pPr>
        <w:pStyle w:val="Bibliography"/>
      </w:pPr>
      <w:r>
        <w:t xml:space="preserve">Winfree, Rachael, Ramiro Aguilar, Diego P. Vázquez, Gretchen LeBuhn, and Marcelo A. Aizen. 2009.</w:t>
      </w:r>
      <w:r>
        <w:t xml:space="preserve"> </w:t>
      </w:r>
      <w:r>
        <w:t xml:space="preserve">“A Meta</w:t>
      </w:r>
      <w:r>
        <w:t xml:space="preserve">-</w:t>
      </w:r>
      <w:r>
        <w:t xml:space="preserve">Analysis of Bees’ Responses to Anthropogenic Disturbance.”</w:t>
      </w:r>
      <w:r>
        <w:t xml:space="preserve"> </w:t>
      </w:r>
      <w:r>
        <w:rPr>
          <w:i/>
          <w:iCs/>
        </w:rPr>
        <w:t xml:space="preserve">Ecology</w:t>
      </w:r>
      <w:r>
        <w:t xml:space="preserve"> </w:t>
      </w:r>
      <w:r>
        <w:t xml:space="preserve">90 (8): 2068–76.</w:t>
      </w:r>
      <w:r>
        <w:t xml:space="preserve"> </w:t>
      </w:r>
      <w:hyperlink r:id="rId82">
        <w:r>
          <w:rPr>
            <w:rStyle w:val="Hyperlink"/>
          </w:rPr>
          <w:t xml:space="preserve">https://doi.org/10.1890/08-1245.1</w:t>
        </w:r>
      </w:hyperlink>
      <w:r>
        <w:t xml:space="preserve">.</w:t>
      </w:r>
    </w:p>
    <w:bookmarkEnd w:id="83"/>
    <w:bookmarkStart w:id="85" w:name="ref-zheng2019"/>
    <w:p>
      <w:pPr>
        <w:pStyle w:val="Bibliography"/>
      </w:pPr>
      <w:r>
        <w:t xml:space="preserve">Zheng, Hao, Julie Perreau, J. Elijah Powell, Benfeng Han, Zijing Zhang, Waldan K. Kwong, Susannah G. Tringe, and Nancy A. Moran. 2019.</w:t>
      </w:r>
      <w:r>
        <w:t xml:space="preserve"> </w:t>
      </w:r>
      <w:r>
        <w:t xml:space="preserve">“Division of Labor in Honey Bee Gut Microbiota for Plant Polysaccharide Digestion.”</w:t>
      </w:r>
      <w:r>
        <w:t xml:space="preserve"> </w:t>
      </w:r>
      <w:r>
        <w:rPr>
          <w:i/>
          <w:iCs/>
        </w:rPr>
        <w:t xml:space="preserve">Proceedings of the National Academy of Sciences</w:t>
      </w:r>
      <w:r>
        <w:t xml:space="preserve"> </w:t>
      </w:r>
      <w:r>
        <w:t xml:space="preserve">116 (51): 25909–16.</w:t>
      </w:r>
      <w:r>
        <w:t xml:space="preserve"> </w:t>
      </w:r>
      <w:hyperlink r:id="rId84">
        <w:r>
          <w:rPr>
            <w:rStyle w:val="Hyperlink"/>
          </w:rPr>
          <w:t xml:space="preserve">https://doi.org/10.1073/pnas.1916224116</w:t>
        </w:r>
      </w:hyperlink>
      <w:r>
        <w:t xml:space="preserve">.</w:t>
      </w:r>
    </w:p>
    <w:bookmarkEnd w:id="85"/>
    <w:bookmarkStart w:id="87" w:name="ref-zheng2017"/>
    <w:p>
      <w:pPr>
        <w:pStyle w:val="Bibliography"/>
      </w:pPr>
      <w:r>
        <w:t xml:space="preserve">Zheng, Hao, J. Elijah Powell, Margaret I. Steele, Carsten Dietrich, and Nancy A. Moran. 2017.</w:t>
      </w:r>
      <w:r>
        <w:t xml:space="preserve"> </w:t>
      </w:r>
      <w:r>
        <w:t xml:space="preserve">“Honeybee Gut Microbiota Promotes Host Weight Gain via Bacterial Metabolism and Hormonal Signaling.”</w:t>
      </w:r>
      <w:r>
        <w:t xml:space="preserve"> </w:t>
      </w:r>
      <w:r>
        <w:rPr>
          <w:i/>
          <w:iCs/>
        </w:rPr>
        <w:t xml:space="preserve">Proceedings of the National Academy of Sciences</w:t>
      </w:r>
      <w:r>
        <w:t xml:space="preserve"> </w:t>
      </w:r>
      <w:r>
        <w:t xml:space="preserve">114 (18): 4775–80.</w:t>
      </w:r>
      <w:r>
        <w:t xml:space="preserve"> </w:t>
      </w:r>
      <w:hyperlink r:id="rId86">
        <w:r>
          <w:rPr>
            <w:rStyle w:val="Hyperlink"/>
          </w:rPr>
          <w:t xml:space="preserve">https://doi.org/10.1073/pnas.1701819114</w:t>
        </w:r>
      </w:hyperlink>
      <w:r>
        <w:t xml:space="preserve">.</w:t>
      </w:r>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chao.stat.nthu.edu.tw/wordpress/software_download/" TargetMode="External" /><Relationship Type="http://schemas.openxmlformats.org/officeDocument/2006/relationships/hyperlink" Id="rId74" Target="http://dx.doi.org/10.2139/ssrn.4877884" TargetMode="External" /><Relationship Type="http://schemas.openxmlformats.org/officeDocument/2006/relationships/hyperlink" Id="rId62" Target="https://CRAN.R-project.org/package=vegan" TargetMode="External" /><Relationship Type="http://schemas.openxmlformats.org/officeDocument/2006/relationships/hyperlink" Id="rId58" Target="https://doi.org/10.1002/pan3.10314" TargetMode="External" /><Relationship Type="http://schemas.openxmlformats.org/officeDocument/2006/relationships/hyperlink" Id="rId28" Target="https://doi.org/10.1016/j.gecco.2024.e02815" TargetMode="External" /><Relationship Type="http://schemas.openxmlformats.org/officeDocument/2006/relationships/hyperlink" Id="rId70" Target="https://doi.org/10.1016/j.scitotenv.2024.170145" TargetMode="External" /><Relationship Type="http://schemas.openxmlformats.org/officeDocument/2006/relationships/hyperlink" Id="rId76" Target="https://doi.org/10.1038/s41559-017-0412-3" TargetMode="External" /><Relationship Type="http://schemas.openxmlformats.org/officeDocument/2006/relationships/hyperlink" Id="rId26" Target="https://doi.org/10.1038/s41598-024-61199-9" TargetMode="External" /><Relationship Type="http://schemas.openxmlformats.org/officeDocument/2006/relationships/hyperlink" Id="rId38" Target="https://doi.org/10.1038/s41893-024-01413-8" TargetMode="External" /><Relationship Type="http://schemas.openxmlformats.org/officeDocument/2006/relationships/hyperlink" Id="rId36"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0" Target="https://doi.org/10.1073/pnas.1202970109" TargetMode="External" /><Relationship Type="http://schemas.openxmlformats.org/officeDocument/2006/relationships/hyperlink" Id="rId86" Target="https://doi.org/10.1073/pnas.1701819114" TargetMode="External" /><Relationship Type="http://schemas.openxmlformats.org/officeDocument/2006/relationships/hyperlink" Id="rId84" Target="https://doi.org/10.1073/pnas.1916224116" TargetMode="External" /><Relationship Type="http://schemas.openxmlformats.org/officeDocument/2006/relationships/hyperlink" Id="rId78" Target="https://doi.org/10.1073/pnas.2023989118"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4" Target="https://doi.org/10.1111/1365-2435.13153" TargetMode="External" /><Relationship Type="http://schemas.openxmlformats.org/officeDocument/2006/relationships/hyperlink" Id="rId68"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2" Target="https://doi.org/10.1111/1574-6976.12025" TargetMode="External" /><Relationship Type="http://schemas.openxmlformats.org/officeDocument/2006/relationships/hyperlink" Id="rId54" Target="https://doi.org/10.1111/j.1365-294x.2010.04959.x" TargetMode="External" /><Relationship Type="http://schemas.openxmlformats.org/officeDocument/2006/relationships/hyperlink" Id="rId64"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2"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82" Target="https://doi.org/10.1890/08-1245.1" TargetMode="External" /><Relationship Type="http://schemas.openxmlformats.org/officeDocument/2006/relationships/hyperlink" Id="rId80" Target="https://doi.org/10.3389/fcimb.2024.1342781" TargetMode="External" /><Relationship Type="http://schemas.openxmlformats.org/officeDocument/2006/relationships/hyperlink" Id="rId66" Target="https://doi.org/10.5281/ZENODO.5512237" TargetMode="External" /></Relationships>
</file>

<file path=word/_rels/footnotes.xml.rels><?xml version="1.0" encoding="UTF-8"?><Relationships xmlns="http://schemas.openxmlformats.org/package/2006/relationships"><Relationship Type="http://schemas.openxmlformats.org/officeDocument/2006/relationships/hyperlink" Id="rId40" Target="http://chao.stat.nthu.edu.tw/wordpress/software_download/" TargetMode="External" /><Relationship Type="http://schemas.openxmlformats.org/officeDocument/2006/relationships/hyperlink" Id="rId74" Target="http://dx.doi.org/10.2139/ssrn.4877884" TargetMode="External" /><Relationship Type="http://schemas.openxmlformats.org/officeDocument/2006/relationships/hyperlink" Id="rId62" Target="https://CRAN.R-project.org/package=vegan" TargetMode="External" /><Relationship Type="http://schemas.openxmlformats.org/officeDocument/2006/relationships/hyperlink" Id="rId58" Target="https://doi.org/10.1002/pan3.10314" TargetMode="External" /><Relationship Type="http://schemas.openxmlformats.org/officeDocument/2006/relationships/hyperlink" Id="rId28" Target="https://doi.org/10.1016/j.gecco.2024.e02815" TargetMode="External" /><Relationship Type="http://schemas.openxmlformats.org/officeDocument/2006/relationships/hyperlink" Id="rId70" Target="https://doi.org/10.1016/j.scitotenv.2024.170145" TargetMode="External" /><Relationship Type="http://schemas.openxmlformats.org/officeDocument/2006/relationships/hyperlink" Id="rId76" Target="https://doi.org/10.1038/s41559-017-0412-3" TargetMode="External" /><Relationship Type="http://schemas.openxmlformats.org/officeDocument/2006/relationships/hyperlink" Id="rId26" Target="https://doi.org/10.1038/s41598-024-61199-9" TargetMode="External" /><Relationship Type="http://schemas.openxmlformats.org/officeDocument/2006/relationships/hyperlink" Id="rId38" Target="https://doi.org/10.1038/s41893-024-01413-8" TargetMode="External" /><Relationship Type="http://schemas.openxmlformats.org/officeDocument/2006/relationships/hyperlink" Id="rId36"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0" Target="https://doi.org/10.1073/pnas.1202970109" TargetMode="External" /><Relationship Type="http://schemas.openxmlformats.org/officeDocument/2006/relationships/hyperlink" Id="rId86" Target="https://doi.org/10.1073/pnas.1701819114" TargetMode="External" /><Relationship Type="http://schemas.openxmlformats.org/officeDocument/2006/relationships/hyperlink" Id="rId84" Target="https://doi.org/10.1073/pnas.1916224116" TargetMode="External" /><Relationship Type="http://schemas.openxmlformats.org/officeDocument/2006/relationships/hyperlink" Id="rId78" Target="https://doi.org/10.1073/pnas.2023989118"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4" Target="https://doi.org/10.1111/1365-2435.13153" TargetMode="External" /><Relationship Type="http://schemas.openxmlformats.org/officeDocument/2006/relationships/hyperlink" Id="rId68"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2" Target="https://doi.org/10.1111/1574-6976.12025" TargetMode="External" /><Relationship Type="http://schemas.openxmlformats.org/officeDocument/2006/relationships/hyperlink" Id="rId54" Target="https://doi.org/10.1111/j.1365-294x.2010.04959.x" TargetMode="External" /><Relationship Type="http://schemas.openxmlformats.org/officeDocument/2006/relationships/hyperlink" Id="rId64"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2"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82" Target="https://doi.org/10.1890/08-1245.1" TargetMode="External" /><Relationship Type="http://schemas.openxmlformats.org/officeDocument/2006/relationships/hyperlink" Id="rId80" Target="https://doi.org/10.3389/fcimb.2024.1342781" TargetMode="External" /><Relationship Type="http://schemas.openxmlformats.org/officeDocument/2006/relationships/hyperlink" Id="rId66" Target="https://doi.org/10.5281/ZENODO.55122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Changing Microbiome: How Seasonal Variation Shapes Bumblebee Gut Communities</dc:title>
  <dc:creator>Luis Javier Chueca1*, Jon Poza1, Manpreet Dhami2,3, Marion Donald2, Brais Hermosilla1, Jennifer Rose1, Xabier Salgado1, Ainhoa Magrach1,4</dc:creator>
  <cp:keywords/>
  <dcterms:created xsi:type="dcterms:W3CDTF">2025-05-08T13:55:30Z</dcterms:created>
  <dcterms:modified xsi:type="dcterms:W3CDTF">2025-05-08T13:55:30Z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orresponding-author">
    <vt:lpwstr>Luis Javier Chueca (luisjavier.chueca@bc3research.org)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