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Microbiome_baseline</w:t>
      </w:r>
    </w:p>
    <w:bookmarkStart w:id="20" w:name="abstract"/>
    <w:p>
      <w:pPr>
        <w:pStyle w:val="Heading2"/>
      </w:pPr>
      <w:r>
        <w:t xml:space="preserve">Abstract</w:t>
      </w:r>
    </w:p>
    <w:p>
      <w:pPr>
        <w:pStyle w:val="FirstParagraph"/>
      </w:pPr>
      <w:r>
        <w:t xml:space="preserve">Pollinators are essential for both natural and agricultural systems, supporting the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Pr>
          <w:i/>
          <w:iCs/>
        </w:rPr>
        <w:t xml:space="preserve">Bombus pascuorum</w:t>
      </w:r>
      <w:r>
        <w:t xml:space="preserve">)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bookmarkEnd w:id="20"/>
    <w:bookmarkStart w:id="21" w:name="introduction"/>
    <w:p>
      <w:pPr>
        <w:pStyle w:val="Heading2"/>
      </w:pPr>
      <w:r>
        <w:t xml:space="preserve">Introduction</w:t>
      </w:r>
    </w:p>
    <w:p>
      <w:pPr>
        <w:pStyle w:val="FirstParagraph"/>
      </w:pPr>
      <w:r>
        <w:t xml:space="preserve">Pollinators play a critical role in the functioning of both natural and agricultural systems worldwide, facilitating the reproduction of &gt;85% of flowering plants</w:t>
      </w:r>
      <w:r>
        <w:t xml:space="preserve"> </w:t>
      </w:r>
      <w:r>
        <w:t xml:space="preserve">(Ollerton, Winfree, and Tarrant 2011)</w:t>
      </w:r>
      <w:r>
        <w:t xml:space="preserve"> </w:t>
      </w:r>
      <w:r>
        <w:t xml:space="preserve">and contributing to the production of &gt;75% of global food crops</w:t>
      </w:r>
      <w:r>
        <w:t xml:space="preserve"> </w:t>
      </w:r>
      <w:r>
        <w:t xml:space="preserve">(Klein et al. 2006)</w:t>
      </w:r>
      <w:r>
        <w:t xml:space="preserve">. However, pollinators are increasingly at risk due to multiple global change drivers. Climate change, with its impacts on temperature and precipitation patterns, disrupts pollinator behaviors and/or morphologies</w:t>
      </w:r>
      <w:r>
        <w:t xml:space="preserve"> </w:t>
      </w:r>
      <w:r>
        <w:t xml:space="preserve">(Miller-Struttmann et al. 2015)</w:t>
      </w:r>
      <w:r>
        <w:t xml:space="preserve"> </w:t>
      </w:r>
      <w:r>
        <w:t xml:space="preserve">leading to plant-pollinator mismatches</w:t>
      </w:r>
      <w:r>
        <w:t xml:space="preserve"> </w:t>
      </w:r>
      <w:r>
        <w:t xml:space="preserve">(Gérard et al. 2020)</w:t>
      </w:r>
      <w:r>
        <w:t xml:space="preserve">. Habitat loss and fragmentation lead to a reduction in pollinator populations</w:t>
      </w:r>
      <w:r>
        <w:t xml:space="preserve"> </w:t>
      </w:r>
      <w:r>
        <w:t xml:space="preserve">(Winfree et al. 2009)</w:t>
      </w:r>
      <w:r>
        <w:t xml:space="preserve">, while the widespread use of pesticides introduce additional stresses</w:t>
      </w:r>
      <w:r>
        <w:t xml:space="preserve"> </w:t>
      </w:r>
      <w:r>
        <w:t xml:space="preserve">(Guzman et al. 2024)</w:t>
      </w:r>
      <w:r>
        <w:t xml:space="preserve">. These factors, compounded by the spread of diseases</w:t>
      </w:r>
      <w:r>
        <w:t xml:space="preserve"> </w:t>
      </w:r>
      <w:r>
        <w:t xml:space="preserve">(Manley, Boots, and Wilfert 2015)</w:t>
      </w:r>
      <w:r>
        <w:t xml:space="preserve"> </w:t>
      </w:r>
      <w:r>
        <w:t xml:space="preserve">and the increasing presence of invasive species</w:t>
      </w:r>
      <w:r>
        <w:t xml:space="preserve"> </w:t>
      </w:r>
      <w:r>
        <w:t xml:space="preserve">(Vanbergen, Espíndola, and Aizen 2017)</w:t>
      </w:r>
      <w:r>
        <w:t xml:space="preserve">, threaten the survival of pollinator populations, leading to cascading effects on ecosystems and human food systems</w:t>
      </w:r>
      <w:r>
        <w:t xml:space="preserve"> </w:t>
      </w:r>
      <w:r>
        <w:t xml:space="preserve">(Devkota et al. 2024; Murphy et al. 2022)</w:t>
      </w:r>
      <w:r>
        <w:t xml:space="preserve">.</w:t>
      </w:r>
      <w:r>
        <w:t xml:space="preserve"> </w:t>
      </w:r>
      <w:r>
        <w:t xml:space="preserve">(Allen-Perkins et al. 2024)</w:t>
      </w:r>
    </w:p>
    <w:p>
      <w:pPr>
        <w:pStyle w:val="BodyText"/>
      </w:pPr>
      <w:r>
        <w:t xml:space="preserve">A relatively unexplored yet crucial aspect of pollinator populations is their microbiome</w:t>
      </w:r>
      <w:r>
        <w:t xml:space="preserve"> </w:t>
      </w:r>
      <w:r>
        <w:t xml:space="preserve">(Shah et al. 2024)</w:t>
      </w:r>
      <w:r>
        <w:t xml:space="preserve">, the community of microorganisms living within and on them. The microbiome can significantly impact the health, physiology</w:t>
      </w:r>
      <w:r>
        <w:t xml:space="preserve"> </w:t>
      </w:r>
      <w:r>
        <w:t xml:space="preserve">(Engel and Moran 2013)</w:t>
      </w:r>
      <w:r>
        <w:t xml:space="preserve">, development, and survival</w:t>
      </w:r>
      <w:r>
        <w:t xml:space="preserve"> </w:t>
      </w:r>
      <w:r>
        <w:t xml:space="preserve">(Ferguson et al. 2018)</w:t>
      </w:r>
      <w:r>
        <w:t xml:space="preserve"> </w:t>
      </w:r>
      <w:r>
        <w:t xml:space="preserve">of organisms, influencing digestion, immune function, and disease resistance. In insect pollinators, the gut microbiome plays a vital role in nutrient absorption</w:t>
      </w:r>
      <w:r>
        <w:t xml:space="preserve"> </w:t>
      </w:r>
      <w:r>
        <w:t xml:space="preserve">(Zheng et al. 2017, 2019)</w:t>
      </w:r>
      <w:r>
        <w:t xml:space="preserve">, detoxification of harmful substances</w:t>
      </w:r>
      <w:r>
        <w:t xml:space="preserve"> </w:t>
      </w:r>
      <w:r>
        <w:t xml:space="preserve">(Engel, Martinson, and Moran 2012)</w:t>
      </w:r>
      <w:r>
        <w:t xml:space="preserve">, and protection against pathogens [</w:t>
      </w:r>
      <w:r>
        <w:t xml:space="preserve">Steele et al. (2021)</w:t>
      </w:r>
      <w:r>
        <w:t xml:space="preserve">]</w:t>
      </w:r>
      <w:r>
        <w:t xml:space="preserve">(Koch and Schmid-Hempel 2011)</w:t>
      </w:r>
      <w:r>
        <w:t xml:space="preserve">. Disruptions to the microbiome, whether through environmental changes, pesticide exposure, or other stressors, can compromise these essential functions and lead to increased vulnerability and mortality</w:t>
      </w:r>
      <w:r>
        <w:t xml:space="preserve"> </w:t>
      </w:r>
      <w:r>
        <w:t xml:space="preserve">(Maes et al. 2016)</w:t>
      </w:r>
      <w:r>
        <w:t xml:space="preserve">. Understanding the composition and functionality of microbiomes is therefore critical, not only for gaining insights into the biology and ecology of pollinator species but also for developing strategies to mitigate the adverse effects of global change drivers.</w:t>
      </w:r>
    </w:p>
    <w:p>
      <w:pPr>
        <w:pStyle w:val="BodyText"/>
      </w:pPr>
      <w:r>
        <w:t xml:space="preserve">Most research on pollinator microbiomes has focused on managed species, like honeybees</w:t>
      </w:r>
      <w:r>
        <w:t xml:space="preserve"> </w:t>
      </w:r>
      <w:r>
        <w:t xml:space="preserve">(Engel, Martinson, and Moran 2012)</w:t>
      </w:r>
      <w:r>
        <w:t xml:space="preserve"> </w:t>
      </w:r>
      <w:r>
        <w:t xml:space="preserve">and certain bumblebee species</w:t>
      </w:r>
      <w:r>
        <w:t xml:space="preserve"> </w:t>
      </w:r>
      <w:r>
        <w:t xml:space="preserve">(Weinhold, Grüner, and Keller 2024)</w:t>
      </w:r>
      <w:r>
        <w:t xml:space="preserve">, providing valuable insights into their gut microbial communities and how these microorganisms influence their health and productivity. However, our understanding of the microbiomes of other pollinator species, and particularly of wild species, remains limited (although see</w:t>
      </w:r>
      <w:r>
        <w:t xml:space="preserve"> </w:t>
      </w:r>
      <w:r>
        <w:t xml:space="preserve">(Li et al. 2023)</w:t>
      </w:r>
      <w:r>
        <w:t xml:space="preserve"> </w:t>
      </w:r>
      <w:r>
        <w:t xml:space="preserve">for a focus on other species). We know even less about how these microbiomes change over time or how different environmental factors shape them.</w:t>
      </w:r>
    </w:p>
    <w:p>
      <w:pPr>
        <w:pStyle w:val="BodyText"/>
      </w:pPr>
      <w:r>
        <w:t xml:space="preserve">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t xml:space="preserve"> </w:t>
      </w:r>
      <w:r>
        <w:t xml:space="preserve">(Risely 2020; Neu, Allen, and Roy 2021)</w:t>
      </w:r>
      <w:r>
        <w:t xml:space="preserve">). This core microbiome consists of around five genera in the case of honeybees</w:t>
      </w:r>
      <w:r>
        <w:t xml:space="preserve"> </w:t>
      </w:r>
      <w:r>
        <w:t xml:space="preserve">(Carlini et al. 2024)</w:t>
      </w:r>
      <w:r>
        <w:t xml:space="preserve"> </w:t>
      </w:r>
      <w:r>
        <w:t xml:space="preserve">and is mostly vertically-transmitted within the hive</w:t>
      </w:r>
      <w:r>
        <w:t xml:space="preserve"> </w:t>
      </w:r>
      <w:r>
        <w:t xml:space="preserve">(MARTINSON et al. 2010)</w:t>
      </w:r>
      <w:r>
        <w:t xml:space="preserve">. In addition to this core microbiome, pollinators also acquire microbes from their environment, particularly through their diet</w:t>
      </w:r>
      <w:r>
        <w:t xml:space="preserve"> </w:t>
      </w:r>
      <w:r>
        <w:t xml:space="preserve">(Ludvigsen et al. 2015)</w:t>
      </w:r>
      <w:r>
        <w:t xml:space="preserve">, which can include nectar, pollen, and other floral resources. These acquired microorganisms can introduce new functions and adaptations but also make pollinators susceptible to environmental changes and stressors. Investigating the microbiomes of wild pollinators and their dynamics offers a promising avenue to understand their resilience and adaptability in the face of global change.</w:t>
      </w:r>
    </w:p>
    <w:p>
      <w:pPr>
        <w:pStyle w:val="BodyText"/>
      </w:pPr>
      <w:r>
        <w:t xml:space="preserve">Here, we focus on understanding the microbiome composition and dynamics of a wild pollinator species, the common carder bee (</w:t>
      </w:r>
      <w:r>
        <w:rPr>
          <w:i/>
          <w:iCs/>
        </w:rPr>
        <w:t xml:space="preserve">Bombus pascuorum</w:t>
      </w:r>
      <w: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w:t>
      </w:r>
      <w:r>
        <w:t xml:space="preserve"> </w:t>
      </w:r>
      <w:r>
        <w:rPr>
          <w:i/>
          <w:iCs/>
        </w:rPr>
        <w:t xml:space="preserve">B. pascuorum</w:t>
      </w:r>
      <w:r>
        <w:t xml:space="preserve"> </w:t>
      </w:r>
      <w:r>
        <w:t xml:space="preserve">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bookmarkEnd w:id="21"/>
    <w:bookmarkStart w:id="22" w:name="methods"/>
    <w:p>
      <w:pPr>
        <w:pStyle w:val="Heading2"/>
      </w:pPr>
      <w:r>
        <w:t xml:space="preserve">Methods</w:t>
      </w:r>
    </w:p>
    <w:p>
      <w:pPr>
        <w:pStyle w:val="FirstParagraph"/>
      </w:pPr>
      <w:r>
        <w:t xml:space="preserve">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w:t>
      </w:r>
      <w:r>
        <w:t xml:space="preserve"> </w:t>
      </w:r>
      <w:r>
        <w:t xml:space="preserve">(Pizarro, Hernangómez, and Fernández-Avilés 2021)</w:t>
      </w:r>
      <w:r>
        <w:t xml:space="preserve">. The area’s vegetation includes beech forests mixed with extensive conifer plantations. Additionally, there is a notable presence of shrubland and meadows, particularly in the rockier, steeper regions of the mountain</w:t>
      </w:r>
      <w:r>
        <w:t xml:space="preserve"> </w:t>
      </w:r>
      <w:r>
        <w:t xml:space="preserve">(Albizu et al. 2002)</w:t>
      </w:r>
      <w:r>
        <w:t xml:space="preserve">.</w:t>
      </w:r>
    </w:p>
    <w:p>
      <w:pPr>
        <w:pStyle w:val="BodyText"/>
      </w:pPr>
      <w: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w:t>
      </w:r>
      <w:r>
        <w:t xml:space="preserve"> </w:t>
      </w:r>
      <w:r>
        <w:rPr>
          <w:i/>
          <w:iCs/>
        </w:rPr>
        <w:t xml:space="preserve">B. pascuorum</w:t>
      </w:r>
      <w:r>
        <w:t xml:space="preserve"> </w:t>
      </w:r>
      <w:r>
        <w:t xml:space="preserve">individuals per day, although this was not always possible. All collected individuals were labeled and stored independently in 50 ml vials at -20ºC until processed in the laboratory. For each bumblebee specimen we measured the inter-tegular distance as a measure of body size</w:t>
      </w:r>
      <w:r>
        <w:t xml:space="preserve"> </w:t>
      </w:r>
      <w:r>
        <w:t xml:space="preserve">(Stemet et al. 2024)</w:t>
      </w:r>
      <w:r>
        <w:t xml:space="preserve">. We then extracted bumblebee guts using sterile forceps which we stored in 96% alcohol until the DNA extraction. Bacterial, plant and fungi DNA was extracted following Macherey-Nagel NucleoSpin® 96 Soil protocol (2021) and were  amplified in duplicate using the DFD forward and ASDFAS reverse primers.</w:t>
      </w:r>
    </w:p>
    <w:p>
      <w:pPr>
        <w:pStyle w:val="BodyText"/>
      </w:pPr>
      <w:r>
        <w:t xml:space="preserve">To avoid site and period vias all samples were randomized using a randomizer program before the DNA extraction, creating a new individual code for each sample.</w:t>
      </w:r>
    </w:p>
    <w:p>
      <w:pPr>
        <w:pStyle w:val="BodyText"/>
      </w:pPr>
      <w:r>
        <w:t xml:space="preserve">DNA Extraction and PCR Amplification</w:t>
      </w:r>
    </w:p>
    <w:p>
      <w:pPr>
        <w:pStyle w:val="BodyText"/>
      </w:pPr>
      <w: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 g for 2 minutes to eliminate foam. Next, 150 µL of Buffer SL3 were added to each sample, vortexed for 5 seconds, and incubated on ice at 0-4ºC for 5 minutes, followed by centrifugation at 11,000 × g for 1 minute.</w:t>
      </w:r>
    </w:p>
    <w:p>
      <w:pPr>
        <w:pStyle w:val="BodyText"/>
      </w:pPr>
      <w:r>
        <w:t xml:space="preserve">The lysate was filtered using a square-well block and the NucleoSpin® Inhibitor Removal Plate. 550 µL of the clear supernatant was loaded into each well, and the plates were centrifuged at 2,250 × g for 13 minutes. The NucleoSpin® Inhibitor Removal Plate was discarded, and 250 µL of Buffer SB was added to the flow-through, mixed by pipetting.</w:t>
      </w:r>
    </w:p>
    <w:p>
      <w:pPr>
        <w:pStyle w:val="BodyText"/>
      </w:pPr>
      <w:r>
        <w:t xml:space="preserve">To bind the DNA, 725 µL of sample was transferred to a NucleoSpin® Soil Binding Plate and centrifuged at 2,250 × g for 13 minutes. The flow-through was discarded. DNA was washed in four steps: (1) 500 µL of Buffer SB, centrifuged at 2,250 × g for 13 minutes; (2) 550 µL of Buffer SW1, centrifuged at 2,250 × g for 5 minutes; (3) 700 µL of Buffer SW2, centrifuged at 2,250 × g for 5 minutes; (4) 700 µL of Buffer SW2, centrifuged at 2,250 × g for 13 minutes. After washing, the plate was incubated at 37ºC for 20 minutes to dry the silica membrane.</w:t>
      </w:r>
    </w:p>
    <w:p>
      <w:pPr>
        <w:pStyle w:val="BodyText"/>
      </w:pPr>
      <w:r>
        <w:t xml:space="preserve">DNA was eluted by adding 100 µL of Buffer SE to each well, incubating for 1 minute, and centrifuging at 2,250 × g for 5 minutes. A total of 132 samples were obtained, with each sample labeled accordingly. Nanodrop tests were performed on random samples to confirm successful DNA extraction.</w:t>
      </w:r>
    </w:p>
    <w:p>
      <w:pPr>
        <w:pStyle w:val="BodyText"/>
      </w:pPr>
      <w:r>
        <w:t xml:space="preserve">PCR Amplification</w:t>
      </w:r>
    </w:p>
    <w:p>
      <w:pPr>
        <w:pStyle w:val="BodyText"/>
      </w:pPr>
      <w:r>
        <w:t xml:space="preserve">DNA amplification was assessed using two-step PCR. Step 1 PCRs were performed for bacterial, plant, and fungal genetic material, with identical reagent volumes for all samples, differing only in the primers used (Table xxx).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amplification success was confirmed via 2% agarose gel electrophoresis between Step 1 and Step 2 PCRs to verify amplicon size.</w:t>
      </w:r>
    </w:p>
    <w:bookmarkEnd w:id="22"/>
    <w:bookmarkStart w:id="23" w:name="results"/>
    <w:p>
      <w:pPr>
        <w:pStyle w:val="Heading2"/>
      </w:pPr>
      <w:r>
        <w:t xml:space="preserve">Results</w:t>
      </w:r>
    </w:p>
    <w:p>
      <w:pPr>
        <w:pStyle w:val="FirstParagraph"/>
      </w:pPr>
      <w:r>
        <w:t xml:space="preserve">During the 2023 season, we collected a total of 132 bumblebee specimens.</w:t>
      </w:r>
    </w:p>
    <w:bookmarkEnd w:id="23"/>
    <w:bookmarkStart w:id="24" w:name="discussion"/>
    <w:p>
      <w:pPr>
        <w:pStyle w:val="Heading2"/>
      </w:pPr>
      <w:r>
        <w:t xml:space="preserve">Discussion</w:t>
      </w:r>
    </w:p>
    <w:bookmarkEnd w:id="24"/>
    <w:bookmarkStart w:id="85" w:name="references"/>
    <w:p>
      <w:pPr>
        <w:pStyle w:val="Heading2"/>
      </w:pPr>
      <w:r>
        <w:t xml:space="preserve">References</w:t>
      </w:r>
    </w:p>
    <w:bookmarkStart w:id="84" w:name="refs"/>
    <w:bookmarkStart w:id="25" w:name="ref-Albizu2002COMPARACINDL"/>
    <w:p>
      <w:pPr>
        <w:pStyle w:val="Bibliography"/>
      </w:pPr>
      <w:r>
        <w:t xml:space="preserve">Albizu, Ibis, Gerardo Besga, Carlos Garbisu, S. Mendarte, Ibone Amezaga, Iker Mijangos, and Miren Onaindía. 2002.</w:t>
      </w:r>
      <w:r>
        <w:t xml:space="preserve"> </w:t>
      </w:r>
      <w:r>
        <w:t xml:space="preserve">“COMPARACI</w:t>
      </w:r>
      <w:r>
        <w:t xml:space="preserve">Ó</w:t>
      </w:r>
      <w:r>
        <w:t xml:space="preserve">n DE LA ALTURA y UNIDADES DEL MEDIDOR DE PLACA COMO ESTIMADORES DE LA BIOMASA EN LOS PASTOS DE MONTA</w:t>
      </w:r>
      <w:r>
        <w:t xml:space="preserve">Ñ</w:t>
      </w:r>
      <w:r>
        <w:t xml:space="preserve">a DEL</w:t>
      </w:r>
      <w:r>
        <w:t xml:space="preserve"> </w:t>
      </w:r>
      <w:r>
        <w:t xml:space="preserve">Á</w:t>
      </w:r>
      <w:r>
        <w:t xml:space="preserve">REA DE GORBEIA (BIZKAIA).”</w:t>
      </w:r>
      <w:r>
        <w:t xml:space="preserve"> </w:t>
      </w:r>
      <w:r>
        <w:t xml:space="preserve">In.</w:t>
      </w:r>
    </w:p>
    <w:bookmarkEnd w:id="25"/>
    <w:bookmarkStart w:id="27" w:name="ref-allen-perkins2024"/>
    <w:p>
      <w:pPr>
        <w:pStyle w:val="Bibliography"/>
      </w:pPr>
      <w:r>
        <w:t xml:space="preserve">Allen-Perkins, Alfonso, Maddi Artamendi, Daniel Montoya, Encarnación Rubio, and Ainhoa Magrach. 2024.</w:t>
      </w:r>
      <w:r>
        <w:t xml:space="preserve"> </w:t>
      </w:r>
      <w:r>
        <w:t xml:space="preserve">“Untangling the Plant Reproductive Success of Changing Community Composition and Pollinator Foraging Choices.”</w:t>
      </w:r>
      <w:r>
        <w:t xml:space="preserve"> </w:t>
      </w:r>
      <w:r>
        <w:rPr>
          <w:i/>
          <w:iCs/>
        </w:rPr>
        <w:t xml:space="preserve">Ecography</w:t>
      </w:r>
      <w:r>
        <w:t xml:space="preserve">, July.</w:t>
      </w:r>
      <w:r>
        <w:t xml:space="preserve"> </w:t>
      </w:r>
      <w:hyperlink r:id="rId26">
        <w:r>
          <w:rPr>
            <w:rStyle w:val="Hyperlink"/>
          </w:rPr>
          <w:t xml:space="preserve">https://doi.org/10.1111/ecog.07240</w:t>
        </w:r>
      </w:hyperlink>
      <w:r>
        <w:t xml:space="preserve">.</w:t>
      </w:r>
    </w:p>
    <w:bookmarkEnd w:id="27"/>
    <w:bookmarkStart w:id="29" w:name="ref-carlini2024"/>
    <w:p>
      <w:pPr>
        <w:pStyle w:val="Bibliography"/>
      </w:pPr>
      <w:r>
        <w:t xml:space="preserve">Carlini, David B., Sundre K. Winslow, Katja Cloppenborg-Schmidt, and John F. Baines. 2024.</w:t>
      </w:r>
      <w:r>
        <w:t xml:space="preserve"> </w:t>
      </w:r>
      <w:r>
        <w:t xml:space="preserve">“Quantitative Microbiome Profiling of Honey Bee (Apis Mellifera) Guts Is Predictive of Winter Colony Loss in Northern Virginia (USA).”</w:t>
      </w:r>
      <w:r>
        <w:t xml:space="preserve"> </w:t>
      </w:r>
      <w:r>
        <w:rPr>
          <w:i/>
          <w:iCs/>
        </w:rPr>
        <w:t xml:space="preserve">Scientific Reports</w:t>
      </w:r>
      <w:r>
        <w:t xml:space="preserve"> </w:t>
      </w:r>
      <w:r>
        <w:t xml:space="preserve">14 (1).</w:t>
      </w:r>
      <w:r>
        <w:t xml:space="preserve"> </w:t>
      </w:r>
      <w:hyperlink r:id="rId28">
        <w:r>
          <w:rPr>
            <w:rStyle w:val="Hyperlink"/>
          </w:rPr>
          <w:t xml:space="preserve">https://doi.org/10.1038/s41598-024-61199-9</w:t>
        </w:r>
      </w:hyperlink>
      <w:r>
        <w:t xml:space="preserve">.</w:t>
      </w:r>
    </w:p>
    <w:bookmarkEnd w:id="29"/>
    <w:bookmarkStart w:id="31" w:name="ref-devkota2024"/>
    <w:p>
      <w:pPr>
        <w:pStyle w:val="Bibliography"/>
      </w:pPr>
      <w:r>
        <w:t xml:space="preserve">Devkota, Kedar, Alice B. Ferreira, Thomas P. Timberlake, and Charles F. dos Santos. 2024.</w:t>
      </w:r>
      <w:r>
        <w:t xml:space="preserve"> </w:t>
      </w:r>
      <w:r>
        <w:t xml:space="preserve">“The Impact of Pollinator Decline on Global Protein Production: Implications for Livestock and Plant-Based Products.”</w:t>
      </w:r>
      <w:r>
        <w:t xml:space="preserve"> </w:t>
      </w:r>
      <w:r>
        <w:rPr>
          <w:i/>
          <w:iCs/>
        </w:rPr>
        <w:t xml:space="preserve">Global Ecology and Conservation</w:t>
      </w:r>
      <w:r>
        <w:t xml:space="preserve"> </w:t>
      </w:r>
      <w:r>
        <w:t xml:space="preserve">50 (April): e02815.</w:t>
      </w:r>
      <w:r>
        <w:t xml:space="preserve"> </w:t>
      </w:r>
      <w:hyperlink r:id="rId30">
        <w:r>
          <w:rPr>
            <w:rStyle w:val="Hyperlink"/>
          </w:rPr>
          <w:t xml:space="preserve">https://doi.org/10.1016/j.gecco.2024.e02815</w:t>
        </w:r>
      </w:hyperlink>
      <w:r>
        <w:t xml:space="preserve">.</w:t>
      </w:r>
    </w:p>
    <w:bookmarkEnd w:id="31"/>
    <w:bookmarkStart w:id="33" w:name="ref-engel2012"/>
    <w:p>
      <w:pPr>
        <w:pStyle w:val="Bibliography"/>
      </w:pPr>
      <w:r>
        <w:t xml:space="preserve">Engel, Philipp, Vincent G. Martinson, and Nancy A. Moran. 2012.</w:t>
      </w:r>
      <w:r>
        <w:t xml:space="preserve"> </w:t>
      </w:r>
      <w:r>
        <w:t xml:space="preserve">“Functional Diversity Within the Simple Gut Microbiota of the Honey Bee.”</w:t>
      </w:r>
      <w:r>
        <w:t xml:space="preserve"> </w:t>
      </w:r>
      <w:r>
        <w:rPr>
          <w:i/>
          <w:iCs/>
        </w:rPr>
        <w:t xml:space="preserve">Proceedings of the National Academy of Sciences</w:t>
      </w:r>
      <w:r>
        <w:t xml:space="preserve"> </w:t>
      </w:r>
      <w:r>
        <w:t xml:space="preserve">109 (27): 11002–7.</w:t>
      </w:r>
      <w:r>
        <w:t xml:space="preserve"> </w:t>
      </w:r>
      <w:hyperlink r:id="rId32">
        <w:r>
          <w:rPr>
            <w:rStyle w:val="Hyperlink"/>
          </w:rPr>
          <w:t xml:space="preserve">https://doi.org/10.1073/pnas.1202970109</w:t>
        </w:r>
      </w:hyperlink>
      <w:r>
        <w:t xml:space="preserve">.</w:t>
      </w:r>
    </w:p>
    <w:bookmarkEnd w:id="33"/>
    <w:bookmarkStart w:id="35" w:name="ref-Engel2013"/>
    <w:p>
      <w:pPr>
        <w:pStyle w:val="Bibliography"/>
      </w:pPr>
      <w:r>
        <w:t xml:space="preserve">Engel, Philipp, and Nancy A. Moran. 2013.</w:t>
      </w:r>
      <w:r>
        <w:t xml:space="preserve"> </w:t>
      </w:r>
      <w:r>
        <w:t xml:space="preserve">“The Gut Microbiota of Insects</w:t>
      </w:r>
      <w:r>
        <w:t xml:space="preserve"> </w:t>
      </w:r>
      <w:r>
        <w:t xml:space="preserve"> </w:t>
      </w:r>
      <w:r>
        <w:t xml:space="preserve">Diversity in Structure and Function.”</w:t>
      </w:r>
      <w:r>
        <w:t xml:space="preserve"> </w:t>
      </w:r>
      <w:r>
        <w:rPr>
          <w:i/>
          <w:iCs/>
        </w:rPr>
        <w:t xml:space="preserve">FEMS Microbiology Reviews</w:t>
      </w:r>
      <w:r>
        <w:t xml:space="preserve"> </w:t>
      </w:r>
      <w:r>
        <w:t xml:space="preserve">37 (5): 699–735.</w:t>
      </w:r>
      <w:r>
        <w:t xml:space="preserve"> </w:t>
      </w:r>
      <w:hyperlink r:id="rId34">
        <w:r>
          <w:rPr>
            <w:rStyle w:val="Hyperlink"/>
          </w:rPr>
          <w:t xml:space="preserve">https://doi.org/10.1111/1574-6976.12025</w:t>
        </w:r>
      </w:hyperlink>
      <w:r>
        <w:t xml:space="preserve">.</w:t>
      </w:r>
    </w:p>
    <w:bookmarkEnd w:id="35"/>
    <w:bookmarkStart w:id="37" w:name="ref-ferguson2018"/>
    <w:p>
      <w:pPr>
        <w:pStyle w:val="Bibliography"/>
      </w:pPr>
      <w:r>
        <w:t xml:space="preserve">Ferguson, Laura V., Pranav Dhakal, Jacqueline E. Lebenzon, David E. Heinrichs, Carol Bucking, and Brent J. Sinclair. 2018.</w:t>
      </w:r>
      <w:r>
        <w:t xml:space="preserve"> </w:t>
      </w:r>
      <w:r>
        <w:t xml:space="preserve">“Seasonal Shifts in the Insect Gut Microbiome Are Concurrent with Changes in Cold Tolerance and Immunity.”</w:t>
      </w:r>
      <w:r>
        <w:t xml:space="preserve"> </w:t>
      </w:r>
      <w:r>
        <w:t xml:space="preserve">Edited by Seth Barribeau.</w:t>
      </w:r>
      <w:r>
        <w:t xml:space="preserve"> </w:t>
      </w:r>
      <w:r>
        <w:rPr>
          <w:i/>
          <w:iCs/>
        </w:rPr>
        <w:t xml:space="preserve">Functional Ecology</w:t>
      </w:r>
      <w:r>
        <w:t xml:space="preserve"> </w:t>
      </w:r>
      <w:r>
        <w:t xml:space="preserve">32 (10): 2357–68.</w:t>
      </w:r>
      <w:r>
        <w:t xml:space="preserve"> </w:t>
      </w:r>
      <w:hyperlink r:id="rId36">
        <w:r>
          <w:rPr>
            <w:rStyle w:val="Hyperlink"/>
          </w:rPr>
          <w:t xml:space="preserve">https://doi.org/10.1111/1365-2435.13153</w:t>
        </w:r>
      </w:hyperlink>
      <w:r>
        <w:t xml:space="preserve">.</w:t>
      </w:r>
    </w:p>
    <w:bookmarkEnd w:id="37"/>
    <w:bookmarkStart w:id="39" w:name="ref-gérard2020"/>
    <w:p>
      <w:pPr>
        <w:pStyle w:val="Bibliography"/>
      </w:pPr>
      <w:r>
        <w:t xml:space="preserve">Gérard, Maxence, Maryse Vanderplanck, Thomas Wood, and Denis Michez. 2020.</w:t>
      </w:r>
      <w:r>
        <w:t xml:space="preserve"> </w:t>
      </w:r>
      <w:r>
        <w:t xml:space="preserve">“Global Warming and Plant</w:t>
      </w:r>
      <w:r>
        <w:t xml:space="preserve">pollinator Mismatches.”</w:t>
      </w:r>
      <w:r>
        <w:t xml:space="preserve"> </w:t>
      </w:r>
      <w:r>
        <w:t xml:space="preserve">Edited by Alison Scott-Brown and Hauke Koch.</w:t>
      </w:r>
      <w:r>
        <w:t xml:space="preserve"> </w:t>
      </w:r>
      <w:r>
        <w:rPr>
          <w:i/>
          <w:iCs/>
        </w:rPr>
        <w:t xml:space="preserve">Emerging Topics in Life Sciences</w:t>
      </w:r>
      <w:r>
        <w:t xml:space="preserve"> </w:t>
      </w:r>
      <w:r>
        <w:t xml:space="preserve">4 (1): 77–86.</w:t>
      </w:r>
      <w:r>
        <w:t xml:space="preserve"> </w:t>
      </w:r>
      <w:hyperlink r:id="rId38">
        <w:r>
          <w:rPr>
            <w:rStyle w:val="Hyperlink"/>
          </w:rPr>
          <w:t xml:space="preserve">https://doi.org/10.1042/etls20190139</w:t>
        </w:r>
      </w:hyperlink>
      <w:r>
        <w:t xml:space="preserve">.</w:t>
      </w:r>
    </w:p>
    <w:bookmarkEnd w:id="39"/>
    <w:bookmarkStart w:id="41" w:name="ref-guzman2024"/>
    <w:p>
      <w:pPr>
        <w:pStyle w:val="Bibliography"/>
      </w:pPr>
      <w:r>
        <w:t xml:space="preserve">Guzman, Laura Melissa, Elizabeth Elle, Lora A. Morandin, Neil S. Cobb, Paige R. Chesshire, Lindsie M. McCabe, Alice Hughes, Michael Orr, and Leithen K. M’Gonigle. 2024.</w:t>
      </w:r>
      <w:r>
        <w:t xml:space="preserve"> </w:t>
      </w:r>
      <w:r>
        <w:t xml:space="preserve">“Impact of Pesticide Use on Wild Bee Distributions Across the United States.”</w:t>
      </w:r>
      <w:r>
        <w:t xml:space="preserve"> </w:t>
      </w:r>
      <w:r>
        <w:rPr>
          <w:i/>
          <w:iCs/>
        </w:rPr>
        <w:t xml:space="preserve">Nature Sustainability</w:t>
      </w:r>
      <w:r>
        <w:t xml:space="preserve"> </w:t>
      </w:r>
      <w:r>
        <w:t xml:space="preserve">7 (10): 1324–34.</w:t>
      </w:r>
      <w:r>
        <w:t xml:space="preserve"> </w:t>
      </w:r>
      <w:hyperlink r:id="rId40">
        <w:r>
          <w:rPr>
            <w:rStyle w:val="Hyperlink"/>
          </w:rPr>
          <w:t xml:space="preserve">https://doi.org/10.1038/s41893-024-01413-8</w:t>
        </w:r>
      </w:hyperlink>
      <w:r>
        <w:t xml:space="preserve">.</w:t>
      </w:r>
    </w:p>
    <w:bookmarkEnd w:id="41"/>
    <w:bookmarkStart w:id="43" w:name="ref-klein2006"/>
    <w:p>
      <w:pPr>
        <w:pStyle w:val="Bibliography"/>
      </w:pPr>
      <w:r>
        <w:t xml:space="preserve">Klein, Alexandra-Maria, Bernard E Vaissière, James H Cane, Ingolf Steffan-Dewenter, Saul A Cunningham, Claire Kremen, and Teja Tscharntke. 2006.</w:t>
      </w:r>
      <w:r>
        <w:t xml:space="preserve"> </w:t>
      </w:r>
      <w:r>
        <w:t xml:space="preserve">“Importance of Pollinators in Changing Landscapes for World Crops.”</w:t>
      </w:r>
      <w:r>
        <w:t xml:space="preserve"> </w:t>
      </w:r>
      <w:r>
        <w:rPr>
          <w:i/>
          <w:iCs/>
        </w:rPr>
        <w:t xml:space="preserve">Proceedings of the Royal Society B: Biological Sciences</w:t>
      </w:r>
      <w:r>
        <w:t xml:space="preserve"> </w:t>
      </w:r>
      <w:r>
        <w:t xml:space="preserve">274 (1608): 303–13.</w:t>
      </w:r>
      <w:r>
        <w:t xml:space="preserve"> </w:t>
      </w:r>
      <w:hyperlink r:id="rId42">
        <w:r>
          <w:rPr>
            <w:rStyle w:val="Hyperlink"/>
          </w:rPr>
          <w:t xml:space="preserve">https://doi.org/10.1098/rspb.2006.3721</w:t>
        </w:r>
      </w:hyperlink>
      <w:r>
        <w:t xml:space="preserve">.</w:t>
      </w:r>
    </w:p>
    <w:bookmarkEnd w:id="43"/>
    <w:bookmarkStart w:id="45" w:name="ref-koch2011"/>
    <w:p>
      <w:pPr>
        <w:pStyle w:val="Bibliography"/>
      </w:pPr>
      <w:r>
        <w:t xml:space="preserve">Koch, Hauke, and Paul Schmid-Hempel. 2011.</w:t>
      </w:r>
      <w:r>
        <w:t xml:space="preserve"> </w:t>
      </w:r>
      <w:r>
        <w:t xml:space="preserve">“Socially Transmitted Gut Microbiota Protect Bumble Bees Against an Intestinal Parasite.”</w:t>
      </w:r>
      <w:r>
        <w:t xml:space="preserve"> </w:t>
      </w:r>
      <w:r>
        <w:rPr>
          <w:i/>
          <w:iCs/>
        </w:rPr>
        <w:t xml:space="preserve">Proceedings of the National Academy of Sciences</w:t>
      </w:r>
      <w:r>
        <w:t xml:space="preserve"> </w:t>
      </w:r>
      <w:r>
        <w:t xml:space="preserve">108 (48): 19288–92.</w:t>
      </w:r>
      <w:r>
        <w:t xml:space="preserve"> </w:t>
      </w:r>
      <w:hyperlink r:id="rId44">
        <w:r>
          <w:rPr>
            <w:rStyle w:val="Hyperlink"/>
          </w:rPr>
          <w:t xml:space="preserve">https://doi.org/10.1073/pnas.1110474108</w:t>
        </w:r>
      </w:hyperlink>
      <w:r>
        <w:t xml:space="preserve">.</w:t>
      </w:r>
    </w:p>
    <w:bookmarkEnd w:id="45"/>
    <w:bookmarkStart w:id="47" w:name="ref-li2023"/>
    <w:p>
      <w:pPr>
        <w:pStyle w:val="Bibliography"/>
      </w:pPr>
      <w:r>
        <w:t xml:space="preserve">Li, Jilian, Logan Sauers, Daohua Zhuang, Haiqing Ren, Jun Guo, Liuhao Wang, Mingsheng Zhuang, et al. 2023.</w:t>
      </w:r>
      <w:r>
        <w:t xml:space="preserve"> </w:t>
      </w:r>
      <w:r>
        <w:t xml:space="preserve">“Divergence and Convergence of Gut Microbiomes of Wild Insect Pollinators.”</w:t>
      </w:r>
      <w:r>
        <w:t xml:space="preserve"> </w:t>
      </w:r>
      <w:r>
        <w:t xml:space="preserve">Edited by Margaret J. McFall-Ngai and William Ludington.</w:t>
      </w:r>
      <w:r>
        <w:t xml:space="preserve"> </w:t>
      </w:r>
      <w:r>
        <w:rPr>
          <w:i/>
          <w:iCs/>
        </w:rPr>
        <w:t xml:space="preserve">mBio</w:t>
      </w:r>
      <w:r>
        <w:t xml:space="preserve">, July.</w:t>
      </w:r>
      <w:r>
        <w:t xml:space="preserve"> </w:t>
      </w:r>
      <w:hyperlink r:id="rId46">
        <w:r>
          <w:rPr>
            <w:rStyle w:val="Hyperlink"/>
          </w:rPr>
          <w:t xml:space="preserve">https://doi.org/10.1128/mbio.01270-23</w:t>
        </w:r>
      </w:hyperlink>
      <w:r>
        <w:t xml:space="preserve">.</w:t>
      </w:r>
    </w:p>
    <w:bookmarkEnd w:id="47"/>
    <w:bookmarkStart w:id="49" w:name="ref-ludvigsen2015"/>
    <w:p>
      <w:pPr>
        <w:pStyle w:val="Bibliography"/>
      </w:pPr>
      <w:r>
        <w:t xml:space="preserve">Ludvigsen, Jane, Anbjørg Rangberg, Ekaterina Avershina, Monika Sekelja, Claus Kreibich, Gro Amdam, and Knut Rudi. 2015.</w:t>
      </w:r>
      <w:r>
        <w:t xml:space="preserve"> </w:t>
      </w:r>
      <w:r>
        <w:t xml:space="preserve">“Shifts in the Midgut/Pyloric Microbiota Composition Within a Honey Bee Apiary Throughout a Season.”</w:t>
      </w:r>
      <w:r>
        <w:t xml:space="preserve"> </w:t>
      </w:r>
      <w:r>
        <w:rPr>
          <w:i/>
          <w:iCs/>
        </w:rPr>
        <w:t xml:space="preserve">Microbes and Environments</w:t>
      </w:r>
      <w:r>
        <w:t xml:space="preserve"> </w:t>
      </w:r>
      <w:r>
        <w:t xml:space="preserve">30 (3): 235–44.</w:t>
      </w:r>
      <w:r>
        <w:t xml:space="preserve"> </w:t>
      </w:r>
      <w:hyperlink r:id="rId48">
        <w:r>
          <w:rPr>
            <w:rStyle w:val="Hyperlink"/>
          </w:rPr>
          <w:t xml:space="preserve">https://doi.org/10.1264/jsme2.me15019</w:t>
        </w:r>
      </w:hyperlink>
      <w:r>
        <w:t xml:space="preserve">.</w:t>
      </w:r>
    </w:p>
    <w:bookmarkEnd w:id="49"/>
    <w:bookmarkStart w:id="51" w:name="ref-maes2016"/>
    <w:p>
      <w:pPr>
        <w:pStyle w:val="Bibliography"/>
      </w:pPr>
      <w:r>
        <w:t xml:space="preserve">Maes, Patrick W., Pedro A. P. Rodrigues, Randy Oliver, Brendon M. Mott, and Kirk E. Anderson. 2016.</w:t>
      </w:r>
      <w:r>
        <w:t xml:space="preserve"> </w:t>
      </w:r>
      <w:r>
        <w:t xml:space="preserve">“Diet</w:t>
      </w:r>
      <w:r>
        <w:t xml:space="preserve">-</w:t>
      </w:r>
      <w:r>
        <w:t xml:space="preserve">Related Gut Bacterial Dysbiosis Correlates with Impaired Development, Increased Mortality and Nosema Disease in the Honeybee (</w:t>
      </w:r>
      <w:r>
        <w:rPr>
          <w:i/>
          <w:iCs/>
        </w:rPr>
        <w:t xml:space="preserve">Apis Mellifera</w:t>
      </w:r>
      <w:r>
        <w:t xml:space="preserve">).”</w:t>
      </w:r>
      <w:r>
        <w:t xml:space="preserve"> </w:t>
      </w:r>
      <w:r>
        <w:rPr>
          <w:i/>
          <w:iCs/>
        </w:rPr>
        <w:t xml:space="preserve">Molecular Ecology</w:t>
      </w:r>
      <w:r>
        <w:t xml:space="preserve"> </w:t>
      </w:r>
      <w:r>
        <w:t xml:space="preserve">25 (21): 5439–50.</w:t>
      </w:r>
      <w:r>
        <w:t xml:space="preserve"> </w:t>
      </w:r>
      <w:hyperlink r:id="rId50">
        <w:r>
          <w:rPr>
            <w:rStyle w:val="Hyperlink"/>
          </w:rPr>
          <w:t xml:space="preserve">https://doi.org/10.1111/mec.13862</w:t>
        </w:r>
      </w:hyperlink>
      <w:r>
        <w:t xml:space="preserve">.</w:t>
      </w:r>
    </w:p>
    <w:bookmarkEnd w:id="51"/>
    <w:bookmarkStart w:id="53" w:name="ref-manley2015"/>
    <w:p>
      <w:pPr>
        <w:pStyle w:val="Bibliography"/>
      </w:pPr>
      <w:r>
        <w:t xml:space="preserve">Manley, Robyn, Mike Boots, and Lena Wilfert. 2015.</w:t>
      </w:r>
      <w:r>
        <w:t xml:space="preserve"> </w:t>
      </w:r>
      <w:r>
        <w:t xml:space="preserve">“REVIEW: Emerging Viral Disease Risk to Pollinating Insects: Ecological, Evolutionary and Anthropogenic Factors.”</w:t>
      </w:r>
      <w:r>
        <w:t xml:space="preserve"> </w:t>
      </w:r>
      <w:r>
        <w:t xml:space="preserve">Edited by Ian Kaplan.</w:t>
      </w:r>
      <w:r>
        <w:t xml:space="preserve"> </w:t>
      </w:r>
      <w:r>
        <w:rPr>
          <w:i/>
          <w:iCs/>
        </w:rPr>
        <w:t xml:space="preserve">Journal of Applied Ecology</w:t>
      </w:r>
      <w:r>
        <w:t xml:space="preserve"> </w:t>
      </w:r>
      <w:r>
        <w:t xml:space="preserve">52 (2): 331–40.</w:t>
      </w:r>
      <w:r>
        <w:t xml:space="preserve"> </w:t>
      </w:r>
      <w:hyperlink r:id="rId52">
        <w:r>
          <w:rPr>
            <w:rStyle w:val="Hyperlink"/>
          </w:rPr>
          <w:t xml:space="preserve">https://doi.org/10.1111/1365-2664.12385</w:t>
        </w:r>
      </w:hyperlink>
      <w:r>
        <w:t xml:space="preserve">.</w:t>
      </w:r>
    </w:p>
    <w:bookmarkEnd w:id="53"/>
    <w:bookmarkStart w:id="55" w:name="ref-martinson2010"/>
    <w:p>
      <w:pPr>
        <w:pStyle w:val="Bibliography"/>
      </w:pPr>
      <w:r>
        <w:t xml:space="preserve">MARTINSON, VINCENT G., BRYAN N. DANFORTH, ROBERT L. MINCKLEY, OLAV RUEPPELL, SALIM TINGEK, and NANCY A. MORAN. 2010.</w:t>
      </w:r>
      <w:r>
        <w:t xml:space="preserve"> </w:t>
      </w:r>
      <w:r>
        <w:t xml:space="preserve">“A Simple and Distinctive Microbiota Associated with Honey Bees and Bumble Bees.”</w:t>
      </w:r>
      <w:r>
        <w:t xml:space="preserve"> </w:t>
      </w:r>
      <w:r>
        <w:rPr>
          <w:i/>
          <w:iCs/>
        </w:rPr>
        <w:t xml:space="preserve">Molecular Ecology</w:t>
      </w:r>
      <w:r>
        <w:t xml:space="preserve"> </w:t>
      </w:r>
      <w:r>
        <w:t xml:space="preserve">20 (3): 619–28.</w:t>
      </w:r>
      <w:r>
        <w:t xml:space="preserve"> </w:t>
      </w:r>
      <w:hyperlink r:id="rId54">
        <w:r>
          <w:rPr>
            <w:rStyle w:val="Hyperlink"/>
          </w:rPr>
          <w:t xml:space="preserve">https://doi.org/10.1111/j.1365-294x.2010.04959.x</w:t>
        </w:r>
      </w:hyperlink>
      <w:r>
        <w:t xml:space="preserve">.</w:t>
      </w:r>
    </w:p>
    <w:bookmarkEnd w:id="55"/>
    <w:bookmarkStart w:id="57" w:name="ref-miller-struttmann2015"/>
    <w:p>
      <w:pPr>
        <w:pStyle w:val="Bibliography"/>
      </w:pPr>
      <w:r>
        <w:t xml:space="preserve">Miller-Struttmann, Nicole E., Jennifer C. Geib, James D. Franklin, Peter G. Kevan, Ricardo M. Holdo, Diane Ebert-May, Austin M. Lynn, Jessica A. Kettenbach, Elizabeth Hedrick, and Candace Galen. 2015.</w:t>
      </w:r>
      <w:r>
        <w:t xml:space="preserve"> </w:t>
      </w:r>
      <w:r>
        <w:t xml:space="preserve">“Functional Mismatch in a Bumble Bee Pollination Mutualism Under Climate Change.”</w:t>
      </w:r>
      <w:r>
        <w:t xml:space="preserve"> </w:t>
      </w:r>
      <w:r>
        <w:rPr>
          <w:i/>
          <w:iCs/>
        </w:rPr>
        <w:t xml:space="preserve">Science</w:t>
      </w:r>
      <w:r>
        <w:t xml:space="preserve"> </w:t>
      </w:r>
      <w:r>
        <w:t xml:space="preserve">349 (6255): 1541–44.</w:t>
      </w:r>
      <w:r>
        <w:t xml:space="preserve"> </w:t>
      </w:r>
      <w:hyperlink r:id="rId56">
        <w:r>
          <w:rPr>
            <w:rStyle w:val="Hyperlink"/>
          </w:rPr>
          <w:t xml:space="preserve">https://doi.org/10.1126/science.aab0868</w:t>
        </w:r>
      </w:hyperlink>
      <w:r>
        <w:t xml:space="preserve">.</w:t>
      </w:r>
    </w:p>
    <w:bookmarkEnd w:id="57"/>
    <w:bookmarkStart w:id="59" w:name="ref-murphy2022"/>
    <w:p>
      <w:pPr>
        <w:pStyle w:val="Bibliography"/>
      </w:pPr>
      <w:r>
        <w:t xml:space="preserve">Murphy, James T., Tom D. Breeze, Bryony Willcox, Saorla Kavanagh, and Jane C. Stout. 2022.</w:t>
      </w:r>
      <w:r>
        <w:t xml:space="preserve"> </w:t>
      </w:r>
      <w:r>
        <w:t xml:space="preserve">“Globalisation and Pollinators: Pollinator Declines Are an Economic Threat to Global Food Systems.”</w:t>
      </w:r>
      <w:r>
        <w:t xml:space="preserve"> </w:t>
      </w:r>
      <w:r>
        <w:rPr>
          <w:i/>
          <w:iCs/>
        </w:rPr>
        <w:t xml:space="preserve">People and Nature</w:t>
      </w:r>
      <w:r>
        <w:t xml:space="preserve"> </w:t>
      </w:r>
      <w:r>
        <w:t xml:space="preserve">4 (3): 773–85.</w:t>
      </w:r>
      <w:r>
        <w:t xml:space="preserve"> </w:t>
      </w:r>
      <w:hyperlink r:id="rId58">
        <w:r>
          <w:rPr>
            <w:rStyle w:val="Hyperlink"/>
          </w:rPr>
          <w:t xml:space="preserve">https://doi.org/10.1002/pan3.10314</w:t>
        </w:r>
      </w:hyperlink>
      <w:r>
        <w:t xml:space="preserve">.</w:t>
      </w:r>
    </w:p>
    <w:bookmarkEnd w:id="59"/>
    <w:bookmarkStart w:id="61" w:name="ref-neu2021"/>
    <w:p>
      <w:pPr>
        <w:pStyle w:val="Bibliography"/>
      </w:pPr>
      <w:r>
        <w:t xml:space="preserve">Neu, Alexander T., Eric E. Allen, and Kaustuv Roy. 2021.</w:t>
      </w:r>
      <w:r>
        <w:t xml:space="preserve"> </w:t>
      </w:r>
      <w:r>
        <w:t xml:space="preserve">“Defining and Quantifying the Core Microbiome: Challenges and Prospects.”</w:t>
      </w:r>
      <w:r>
        <w:t xml:space="preserve"> </w:t>
      </w:r>
      <w:r>
        <w:rPr>
          <w:i/>
          <w:iCs/>
        </w:rPr>
        <w:t xml:space="preserve">Proceedings of the National Academy of Sciences</w:t>
      </w:r>
      <w:r>
        <w:t xml:space="preserve"> </w:t>
      </w:r>
      <w:r>
        <w:t xml:space="preserve">118 (51).</w:t>
      </w:r>
      <w:r>
        <w:t xml:space="preserve"> </w:t>
      </w:r>
      <w:hyperlink r:id="rId60">
        <w:r>
          <w:rPr>
            <w:rStyle w:val="Hyperlink"/>
          </w:rPr>
          <w:t xml:space="preserve">https://doi.org/10.1073/pnas.2104429118</w:t>
        </w:r>
      </w:hyperlink>
      <w:r>
        <w:t xml:space="preserve">.</w:t>
      </w:r>
    </w:p>
    <w:bookmarkEnd w:id="61"/>
    <w:bookmarkStart w:id="63" w:name="ref-ollerton2011"/>
    <w:p>
      <w:pPr>
        <w:pStyle w:val="Bibliography"/>
      </w:pPr>
      <w:r>
        <w:t xml:space="preserve">Ollerton, Jeff, Rachael Winfree, and Sam Tarrant. 2011.</w:t>
      </w:r>
      <w:r>
        <w:t xml:space="preserve"> </w:t>
      </w:r>
      <w:r>
        <w:t xml:space="preserve">“How Many Flowering Plants Are Pollinated by Animals?”</w:t>
      </w:r>
      <w:r>
        <w:t xml:space="preserve"> </w:t>
      </w:r>
      <w:r>
        <w:rPr>
          <w:i/>
          <w:iCs/>
        </w:rPr>
        <w:t xml:space="preserve">Oikos</w:t>
      </w:r>
      <w:r>
        <w:t xml:space="preserve"> </w:t>
      </w:r>
      <w:r>
        <w:t xml:space="preserve">120 (3): 321–26.</w:t>
      </w:r>
      <w:r>
        <w:t xml:space="preserve"> </w:t>
      </w:r>
      <w:hyperlink r:id="rId62">
        <w:r>
          <w:rPr>
            <w:rStyle w:val="Hyperlink"/>
          </w:rPr>
          <w:t xml:space="preserve">https://doi.org/10.1111/j.1600-0706.2010.18644.x</w:t>
        </w:r>
      </w:hyperlink>
      <w:r>
        <w:t xml:space="preserve">.</w:t>
      </w:r>
    </w:p>
    <w:bookmarkEnd w:id="63"/>
    <w:bookmarkStart w:id="65" w:name="ref-Pizarro2021"/>
    <w:p>
      <w:pPr>
        <w:pStyle w:val="Bibliography"/>
      </w:pPr>
      <w:r>
        <w:t xml:space="preserve">Pizarro, Manuel, Diego Hernangómez, and Gema Fernández-Avilés. 2021.</w:t>
      </w:r>
      <w:r>
        <w:t xml:space="preserve"> </w:t>
      </w:r>
      <w:r>
        <w:t xml:space="preserve">“Climaemet: Climate AEMET Tools,”</w:t>
      </w:r>
      <w:r>
        <w:t xml:space="preserve"> </w:t>
      </w:r>
      <w:r>
        <w:t xml:space="preserve">September.</w:t>
      </w:r>
      <w:r>
        <w:t xml:space="preserve"> </w:t>
      </w:r>
      <w:hyperlink r:id="rId64">
        <w:r>
          <w:rPr>
            <w:rStyle w:val="Hyperlink"/>
          </w:rPr>
          <w:t xml:space="preserve">https://doi.org/10.5281/ZENODO.5512237</w:t>
        </w:r>
      </w:hyperlink>
      <w:r>
        <w:t xml:space="preserve">.</w:t>
      </w:r>
    </w:p>
    <w:bookmarkEnd w:id="65"/>
    <w:bookmarkStart w:id="67" w:name="ref-risely2020"/>
    <w:p>
      <w:pPr>
        <w:pStyle w:val="Bibliography"/>
      </w:pPr>
      <w:r>
        <w:t xml:space="preserve">Risely, Alice. 2020.</w:t>
      </w:r>
      <w:r>
        <w:t xml:space="preserve"> </w:t>
      </w:r>
      <w:r>
        <w:t xml:space="preserve">“Applying the Core Microbiome to Understand Host</w:t>
      </w:r>
      <w:r>
        <w:t xml:space="preserve">microbe Systems.”</w:t>
      </w:r>
      <w:r>
        <w:t xml:space="preserve"> </w:t>
      </w:r>
      <w:r>
        <w:t xml:space="preserve">Edited by Ann Tate.</w:t>
      </w:r>
      <w:r>
        <w:t xml:space="preserve"> </w:t>
      </w:r>
      <w:r>
        <w:rPr>
          <w:i/>
          <w:iCs/>
        </w:rPr>
        <w:t xml:space="preserve">Journal of Animal Ecology</w:t>
      </w:r>
      <w:r>
        <w:t xml:space="preserve"> </w:t>
      </w:r>
      <w:r>
        <w:t xml:space="preserve">89 (7): 1549–58.</w:t>
      </w:r>
      <w:r>
        <w:t xml:space="preserve"> </w:t>
      </w:r>
      <w:hyperlink r:id="rId66">
        <w:r>
          <w:rPr>
            <w:rStyle w:val="Hyperlink"/>
          </w:rPr>
          <w:t xml:space="preserve">https://doi.org/10.1111/1365-2656.13229</w:t>
        </w:r>
      </w:hyperlink>
      <w:r>
        <w:t xml:space="preserve">.</w:t>
      </w:r>
    </w:p>
    <w:bookmarkEnd w:id="67"/>
    <w:bookmarkStart w:id="69" w:name="ref-shah2024"/>
    <w:p>
      <w:pPr>
        <w:pStyle w:val="Bibliography"/>
      </w:pPr>
      <w:r>
        <w:t xml:space="preserve">Shah, Sakhawat, Muhammad Ilyas, Sufen Bian, and Feng-Lian Yang. 2024.</w:t>
      </w:r>
      <w:r>
        <w:t xml:space="preserve"> </w:t>
      </w:r>
      <w:r>
        <w:t xml:space="preserve">“Discussion: Harnessing Microbiome-Mediated Adaptations in Insect Pollinators to Mitigate Climate Change Impact on Crop Pollination.”</w:t>
      </w:r>
      <w:r>
        <w:t xml:space="preserve"> </w:t>
      </w:r>
      <w:r>
        <w:rPr>
          <w:i/>
          <w:iCs/>
        </w:rPr>
        <w:t xml:space="preserve">Science of The Total Environment</w:t>
      </w:r>
      <w:r>
        <w:t xml:space="preserve"> </w:t>
      </w:r>
      <w:r>
        <w:t xml:space="preserve">915 (March): 170145.</w:t>
      </w:r>
      <w:r>
        <w:t xml:space="preserve"> </w:t>
      </w:r>
      <w:hyperlink r:id="rId68">
        <w:r>
          <w:rPr>
            <w:rStyle w:val="Hyperlink"/>
          </w:rPr>
          <w:t xml:space="preserve">https://doi.org/10.1016/j.scitotenv.2024.170145</w:t>
        </w:r>
      </w:hyperlink>
      <w:r>
        <w:t xml:space="preserve">.</w:t>
      </w:r>
    </w:p>
    <w:bookmarkEnd w:id="69"/>
    <w:bookmarkStart w:id="71" w:name="ref-steele2021"/>
    <w:p>
      <w:pPr>
        <w:pStyle w:val="Bibliography"/>
      </w:pPr>
      <w:r>
        <w:t xml:space="preserve">Steele, Margaret I., Erick V. S. Motta, Tejashwini Gattu, Daniel Martinez, and Nancy A. Moran. 2021.</w:t>
      </w:r>
      <w:r>
        <w:t xml:space="preserve"> </w:t>
      </w:r>
      <w:r>
        <w:t xml:space="preserve">“The Gut Microbiota Protects Bees from Invasion by a Bacterial Pathogen.”</w:t>
      </w:r>
      <w:r>
        <w:t xml:space="preserve"> </w:t>
      </w:r>
      <w:r>
        <w:t xml:space="preserve">Edited by Soo Chan Lee.</w:t>
      </w:r>
      <w:r>
        <w:t xml:space="preserve"> </w:t>
      </w:r>
      <w:r>
        <w:rPr>
          <w:i/>
          <w:iCs/>
        </w:rPr>
        <w:t xml:space="preserve">Microbiology Spectrum</w:t>
      </w:r>
      <w:r>
        <w:t xml:space="preserve"> </w:t>
      </w:r>
      <w:r>
        <w:t xml:space="preserve">9 (2).</w:t>
      </w:r>
      <w:r>
        <w:t xml:space="preserve"> </w:t>
      </w:r>
      <w:hyperlink r:id="rId70">
        <w:r>
          <w:rPr>
            <w:rStyle w:val="Hyperlink"/>
          </w:rPr>
          <w:t xml:space="preserve">https://doi.org/10.1128/spectrum.00394-21</w:t>
        </w:r>
      </w:hyperlink>
      <w:r>
        <w:t xml:space="preserve">.</w:t>
      </w:r>
    </w:p>
    <w:bookmarkEnd w:id="71"/>
    <w:bookmarkStart w:id="73" w:name="ref-stemet2024"/>
    <w:p>
      <w:pPr>
        <w:pStyle w:val="Bibliography"/>
      </w:pPr>
      <w:r>
        <w:t xml:space="preserve">Stemet, Lilia, David J. Biddinger, Kusum Naithani, Allen L. Szalanski, and Neelendra Joshi. 2024.</w:t>
      </w:r>
      <w:r>
        <w:t xml:space="preserve"> </w:t>
      </w:r>
      <w:r>
        <w:t xml:space="preserve">“Intertegular Distance of Wild Bees and Its Use in Estimating Proboscis Lengths and Foraging Ranges to Better Understand Bee Conservation Ecology.”</w:t>
      </w:r>
      <w:r>
        <w:t xml:space="preserve"> </w:t>
      </w:r>
      <w:hyperlink r:id="rId72">
        <w:r>
          <w:rPr>
            <w:rStyle w:val="Hyperlink"/>
          </w:rPr>
          <w:t xml:space="preserve">http://dx.doi.org/10.2139/ssrn.4877884</w:t>
        </w:r>
      </w:hyperlink>
      <w:r>
        <w:t xml:space="preserve">.</w:t>
      </w:r>
    </w:p>
    <w:bookmarkEnd w:id="73"/>
    <w:bookmarkStart w:id="75" w:name="ref-vanbergen2017"/>
    <w:p>
      <w:pPr>
        <w:pStyle w:val="Bibliography"/>
      </w:pPr>
      <w:r>
        <w:t xml:space="preserve">Vanbergen, Adam J., Anahí Espíndola, and Marcelo A. Aizen. 2017.</w:t>
      </w:r>
      <w:r>
        <w:t xml:space="preserve"> </w:t>
      </w:r>
      <w:r>
        <w:t xml:space="preserve">“Risks to Pollinators and Pollination from Invasive Alien Species.”</w:t>
      </w:r>
      <w:r>
        <w:t xml:space="preserve"> </w:t>
      </w:r>
      <w:r>
        <w:rPr>
          <w:i/>
          <w:iCs/>
        </w:rPr>
        <w:t xml:space="preserve">Nature Ecology &amp; Evolution</w:t>
      </w:r>
      <w:r>
        <w:t xml:space="preserve"> </w:t>
      </w:r>
      <w:r>
        <w:t xml:space="preserve">2 (1): 16–25.</w:t>
      </w:r>
      <w:r>
        <w:t xml:space="preserve"> </w:t>
      </w:r>
      <w:hyperlink r:id="rId74">
        <w:r>
          <w:rPr>
            <w:rStyle w:val="Hyperlink"/>
          </w:rPr>
          <w:t xml:space="preserve">https://doi.org/10.1038/s41559-017-0412-3</w:t>
        </w:r>
      </w:hyperlink>
      <w:r>
        <w:t xml:space="preserve">.</w:t>
      </w:r>
    </w:p>
    <w:bookmarkEnd w:id="75"/>
    <w:bookmarkStart w:id="77" w:name="ref-weinhold2024"/>
    <w:p>
      <w:pPr>
        <w:pStyle w:val="Bibliography"/>
      </w:pPr>
      <w:r>
        <w:t xml:space="preserve">Weinhold, Arne, Elisabeth Grüner, and Alexander Keller. 2024.</w:t>
      </w:r>
      <w:r>
        <w:t xml:space="preserve"> </w:t>
      </w:r>
      <w:r>
        <w:t xml:space="preserve">“Bumble Bee Microbiota Shows Temporal Succession and Increase of Lactic Acid Bacteria When Exposed to Outdoor Environments.”</w:t>
      </w:r>
      <w:r>
        <w:t xml:space="preserve"> </w:t>
      </w:r>
      <w:r>
        <w:rPr>
          <w:i/>
          <w:iCs/>
        </w:rPr>
        <w:t xml:space="preserve">Frontiers in Cellular and Infection Microbiology</w:t>
      </w:r>
      <w:r>
        <w:t xml:space="preserve"> </w:t>
      </w:r>
      <w:r>
        <w:t xml:space="preserve">14 (March).</w:t>
      </w:r>
      <w:r>
        <w:t xml:space="preserve"> </w:t>
      </w:r>
      <w:hyperlink r:id="rId76">
        <w:r>
          <w:rPr>
            <w:rStyle w:val="Hyperlink"/>
          </w:rPr>
          <w:t xml:space="preserve">https://doi.org/10.3389/fcimb.2024.1342781</w:t>
        </w:r>
      </w:hyperlink>
      <w:r>
        <w:t xml:space="preserve">.</w:t>
      </w:r>
    </w:p>
    <w:bookmarkEnd w:id="77"/>
    <w:bookmarkStart w:id="79" w:name="ref-winfree2009"/>
    <w:p>
      <w:pPr>
        <w:pStyle w:val="Bibliography"/>
      </w:pPr>
      <w:r>
        <w:t xml:space="preserve">Winfree, Rachael, Ramiro Aguilar, Diego P. Vázquez, Gretchen LeBuhn, and Marcelo A. Aizen. 2009.</w:t>
      </w:r>
      <w:r>
        <w:t xml:space="preserve"> </w:t>
      </w:r>
      <w:r>
        <w:t xml:space="preserve">“A Meta</w:t>
      </w:r>
      <w:r>
        <w:t xml:space="preserve">-</w:t>
      </w:r>
      <w:r>
        <w:t xml:space="preserve">Analysis of Bees’ Responses to Anthropogenic Disturbance.”</w:t>
      </w:r>
      <w:r>
        <w:t xml:space="preserve"> </w:t>
      </w:r>
      <w:r>
        <w:rPr>
          <w:i/>
          <w:iCs/>
        </w:rPr>
        <w:t xml:space="preserve">Ecology</w:t>
      </w:r>
      <w:r>
        <w:t xml:space="preserve"> </w:t>
      </w:r>
      <w:r>
        <w:t xml:space="preserve">90 (8): 2068–76.</w:t>
      </w:r>
      <w:r>
        <w:t xml:space="preserve"> </w:t>
      </w:r>
      <w:hyperlink r:id="rId78">
        <w:r>
          <w:rPr>
            <w:rStyle w:val="Hyperlink"/>
          </w:rPr>
          <w:t xml:space="preserve">https://doi.org/10.1890/08-1245.1</w:t>
        </w:r>
      </w:hyperlink>
      <w:r>
        <w:t xml:space="preserve">.</w:t>
      </w:r>
    </w:p>
    <w:bookmarkEnd w:id="79"/>
    <w:bookmarkStart w:id="81" w:name="ref-zheng2019"/>
    <w:p>
      <w:pPr>
        <w:pStyle w:val="Bibliography"/>
      </w:pPr>
      <w:r>
        <w:t xml:space="preserve">Zheng, Hao, Julie Perreau, J. Elijah Powell, Benfeng Han, Zijing Zhang, Waldan K. Kwong, Susannah G. Tringe, and Nancy A. Moran. 2019.</w:t>
      </w:r>
      <w:r>
        <w:t xml:space="preserve"> </w:t>
      </w:r>
      <w:r>
        <w:t xml:space="preserve">“Division of Labor in Honey Bee Gut Microbiota for Plant Polysaccharide Digestion.”</w:t>
      </w:r>
      <w:r>
        <w:t xml:space="preserve"> </w:t>
      </w:r>
      <w:r>
        <w:rPr>
          <w:i/>
          <w:iCs/>
        </w:rPr>
        <w:t xml:space="preserve">Proceedings of the National Academy of Sciences</w:t>
      </w:r>
      <w:r>
        <w:t xml:space="preserve"> </w:t>
      </w:r>
      <w:r>
        <w:t xml:space="preserve">116 (51): 25909–16.</w:t>
      </w:r>
      <w:r>
        <w:t xml:space="preserve"> </w:t>
      </w:r>
      <w:hyperlink r:id="rId80">
        <w:r>
          <w:rPr>
            <w:rStyle w:val="Hyperlink"/>
          </w:rPr>
          <w:t xml:space="preserve">https://doi.org/10.1073/pnas.1916224116</w:t>
        </w:r>
      </w:hyperlink>
      <w:r>
        <w:t xml:space="preserve">.</w:t>
      </w:r>
    </w:p>
    <w:bookmarkEnd w:id="81"/>
    <w:bookmarkStart w:id="83" w:name="ref-zheng2017"/>
    <w:p>
      <w:pPr>
        <w:pStyle w:val="Bibliography"/>
      </w:pPr>
      <w:r>
        <w:t xml:space="preserve">Zheng, Hao, J. Elijah Powell, Margaret I. Steele, Carsten Dietrich, and Nancy A. Moran. 2017.</w:t>
      </w:r>
      <w:r>
        <w:t xml:space="preserve"> </w:t>
      </w:r>
      <w:r>
        <w:t xml:space="preserve">“Honeybee Gut Microbiota Promotes Host Weight Gain via Bacterial Metabolism and Hormonal Signaling.”</w:t>
      </w:r>
      <w:r>
        <w:t xml:space="preserve"> </w:t>
      </w:r>
      <w:r>
        <w:rPr>
          <w:i/>
          <w:iCs/>
        </w:rPr>
        <w:t xml:space="preserve">Proceedings of the National Academy of Sciences</w:t>
      </w:r>
      <w:r>
        <w:t xml:space="preserve"> </w:t>
      </w:r>
      <w:r>
        <w:t xml:space="preserve">114 (18): 4775–80.</w:t>
      </w:r>
      <w:r>
        <w:t xml:space="preserve"> </w:t>
      </w:r>
      <w:hyperlink r:id="rId82">
        <w:r>
          <w:rPr>
            <w:rStyle w:val="Hyperlink"/>
          </w:rPr>
          <w:t xml:space="preserve">https://doi.org/10.1073/pnas.1701819114</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2" Target="http://dx.doi.org/10.2139/ssrn.4877884" TargetMode="External" /><Relationship Type="http://schemas.openxmlformats.org/officeDocument/2006/relationships/hyperlink" Id="rId58" Target="https://doi.org/10.1002/pan3.10314" TargetMode="External" /><Relationship Type="http://schemas.openxmlformats.org/officeDocument/2006/relationships/hyperlink" Id="rId30" Target="https://doi.org/10.1016/j.gecco.2024.e02815" TargetMode="External" /><Relationship Type="http://schemas.openxmlformats.org/officeDocument/2006/relationships/hyperlink" Id="rId68" Target="https://doi.org/10.1016/j.scitotenv.2024.170145" TargetMode="External" /><Relationship Type="http://schemas.openxmlformats.org/officeDocument/2006/relationships/hyperlink" Id="rId74" Target="https://doi.org/10.1038/s41559-017-0412-3" TargetMode="External" /><Relationship Type="http://schemas.openxmlformats.org/officeDocument/2006/relationships/hyperlink" Id="rId28" Target="https://doi.org/10.1038/s41598-024-61199-9" TargetMode="External" /><Relationship Type="http://schemas.openxmlformats.org/officeDocument/2006/relationships/hyperlink" Id="rId40" Target="https://doi.org/10.1038/s41893-024-01413-8" TargetMode="External" /><Relationship Type="http://schemas.openxmlformats.org/officeDocument/2006/relationships/hyperlink" Id="rId38"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2" Target="https://doi.org/10.1073/pnas.1202970109" TargetMode="External" /><Relationship Type="http://schemas.openxmlformats.org/officeDocument/2006/relationships/hyperlink" Id="rId82" Target="https://doi.org/10.1073/pnas.1701819114" TargetMode="External" /><Relationship Type="http://schemas.openxmlformats.org/officeDocument/2006/relationships/hyperlink" Id="rId80" Target="https://doi.org/10.1073/pnas.1916224116"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6" Target="https://doi.org/10.1111/1365-2435.13153" TargetMode="External" /><Relationship Type="http://schemas.openxmlformats.org/officeDocument/2006/relationships/hyperlink" Id="rId66"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4" Target="https://doi.org/10.1111/1574-6976.12025" TargetMode="External" /><Relationship Type="http://schemas.openxmlformats.org/officeDocument/2006/relationships/hyperlink" Id="rId26" Target="https://doi.org/10.1111/ecog.07240" TargetMode="External" /><Relationship Type="http://schemas.openxmlformats.org/officeDocument/2006/relationships/hyperlink" Id="rId54" Target="https://doi.org/10.1111/j.1365-294x.2010.04959.x" TargetMode="External" /><Relationship Type="http://schemas.openxmlformats.org/officeDocument/2006/relationships/hyperlink" Id="rId62"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0"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78" Target="https://doi.org/10.1890/08-1245.1" TargetMode="External" /><Relationship Type="http://schemas.openxmlformats.org/officeDocument/2006/relationships/hyperlink" Id="rId76" Target="https://doi.org/10.3389/fcimb.2024.1342781" TargetMode="External" /><Relationship Type="http://schemas.openxmlformats.org/officeDocument/2006/relationships/hyperlink" Id="rId64" Target="https://doi.org/10.5281/ZENODO.5512237" TargetMode="External" /></Relationships>
</file>

<file path=word/_rels/footnotes.xml.rels><?xml version="1.0" encoding="UTF-8"?><Relationships xmlns="http://schemas.openxmlformats.org/package/2006/relationships"><Relationship Type="http://schemas.openxmlformats.org/officeDocument/2006/relationships/hyperlink" Id="rId72" Target="http://dx.doi.org/10.2139/ssrn.4877884" TargetMode="External" /><Relationship Type="http://schemas.openxmlformats.org/officeDocument/2006/relationships/hyperlink" Id="rId58" Target="https://doi.org/10.1002/pan3.10314" TargetMode="External" /><Relationship Type="http://schemas.openxmlformats.org/officeDocument/2006/relationships/hyperlink" Id="rId30" Target="https://doi.org/10.1016/j.gecco.2024.e02815" TargetMode="External" /><Relationship Type="http://schemas.openxmlformats.org/officeDocument/2006/relationships/hyperlink" Id="rId68" Target="https://doi.org/10.1016/j.scitotenv.2024.170145" TargetMode="External" /><Relationship Type="http://schemas.openxmlformats.org/officeDocument/2006/relationships/hyperlink" Id="rId74" Target="https://doi.org/10.1038/s41559-017-0412-3" TargetMode="External" /><Relationship Type="http://schemas.openxmlformats.org/officeDocument/2006/relationships/hyperlink" Id="rId28" Target="https://doi.org/10.1038/s41598-024-61199-9" TargetMode="External" /><Relationship Type="http://schemas.openxmlformats.org/officeDocument/2006/relationships/hyperlink" Id="rId40" Target="https://doi.org/10.1038/s41893-024-01413-8" TargetMode="External" /><Relationship Type="http://schemas.openxmlformats.org/officeDocument/2006/relationships/hyperlink" Id="rId38"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2" Target="https://doi.org/10.1073/pnas.1202970109" TargetMode="External" /><Relationship Type="http://schemas.openxmlformats.org/officeDocument/2006/relationships/hyperlink" Id="rId82" Target="https://doi.org/10.1073/pnas.1701819114" TargetMode="External" /><Relationship Type="http://schemas.openxmlformats.org/officeDocument/2006/relationships/hyperlink" Id="rId80" Target="https://doi.org/10.1073/pnas.1916224116"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6" Target="https://doi.org/10.1111/1365-2435.13153" TargetMode="External" /><Relationship Type="http://schemas.openxmlformats.org/officeDocument/2006/relationships/hyperlink" Id="rId66"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4" Target="https://doi.org/10.1111/1574-6976.12025" TargetMode="External" /><Relationship Type="http://schemas.openxmlformats.org/officeDocument/2006/relationships/hyperlink" Id="rId26" Target="https://doi.org/10.1111/ecog.07240" TargetMode="External" /><Relationship Type="http://schemas.openxmlformats.org/officeDocument/2006/relationships/hyperlink" Id="rId54" Target="https://doi.org/10.1111/j.1365-294x.2010.04959.x" TargetMode="External" /><Relationship Type="http://schemas.openxmlformats.org/officeDocument/2006/relationships/hyperlink" Id="rId62"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0"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78" Target="https://doi.org/10.1890/08-1245.1" TargetMode="External" /><Relationship Type="http://schemas.openxmlformats.org/officeDocument/2006/relationships/hyperlink" Id="rId76" Target="https://doi.org/10.3389/fcimb.2024.1342781" TargetMode="External" /><Relationship Type="http://schemas.openxmlformats.org/officeDocument/2006/relationships/hyperlink" Id="rId64" Target="https://doi.org/10.5281/ZENODO.55122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
  <cp:keywords/>
  <dcterms:created xsi:type="dcterms:W3CDTF">2025-04-07T10:39:52Z</dcterms:created>
  <dcterms:modified xsi:type="dcterms:W3CDTF">2025-04-07T10:39:52Z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