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Tahoma" w:cs="Tahoma" w:eastAsia="Tahoma" w:hAnsi="Tahoma"/>
          <w:b w:val="1"/>
          <w:bCs w:val="1"/>
          <w:rtl w:val="0"/>
        </w:rPr>
        <w:t xml:space="preserve">4. ՏԵՔՍՏԻ ՄՇԱԿՄԱՆ ՀԻԲՐԻԴԱՅԻՆ ԱԼԳՈՐԻԹՄՆԵՐ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ind w:firstLine="720"/>
        <w:rPr>
          <w:b w:val="1"/>
          <w:bCs w:val="1"/>
        </w:rPr>
      </w:pPr>
      <w:r w:rsidDel="00000000" w:rsidR="00000000" w:rsidRPr="00000000">
        <w:rPr>
          <w:rFonts w:ascii="Tahoma" w:cs="Tahoma" w:eastAsia="Tahoma" w:hAnsi="Tahoma"/>
          <w:b w:val="1"/>
          <w:bCs w:val="1"/>
          <w:rtl w:val="0"/>
        </w:rPr>
        <w:t xml:space="preserve">4.1. Դասական տեքստային նախանշաններ Դիցուկ, մեզ մոտ առկա է տեքստերի կորպուս, յուրաքանչյուր փաստաթղթի համար կարելի է կառուցել.՝ • di չափության TD – IDF վեկտոր; • n – գրամմային նախանշանների հավաքածու; • պարզ վիճակագրություններ (ստատիստիկաներ).՝ փաստաթղթի երկարություն, առաջարկությունների քանակ, առաջարկությունների միջին երկարություն։ Այս նախանշանները լավ կերպով նկարագրում են տեքստի բովանդակային մասը, բայց ավելի թույլ են արտահայտում կառուցվածքի բաշխումն ըստ երկարության։</w:t>
      </w:r>
    </w:p>
    <w:p w:rsidR="00000000" w:rsidDel="00000000" w:rsidP="00000000" w:rsidRDefault="00000000" w:rsidRPr="00000000" w14:paraId="00000004">
      <w:pPr>
        <w:ind w:firstLine="720"/>
        <w:rPr>
          <w:b w:val="1"/>
          <w:bCs w:val="1"/>
        </w:rPr>
      </w:pPr>
      <w:r w:rsidDel="00000000" w:rsidR="00000000" w:rsidRPr="00000000">
        <w:rPr>
          <w:rtl w:val="0"/>
        </w:rPr>
      </w:r>
    </w:p>
    <w:p w:rsidR="00000000" w:rsidDel="00000000" w:rsidP="00000000" w:rsidRDefault="00000000" w:rsidRPr="00000000" w14:paraId="00000005">
      <w:pPr>
        <w:ind w:firstLine="720"/>
        <w:rPr>
          <w:b w:val="1"/>
          <w:bCs w:val="1"/>
        </w:rPr>
      </w:pPr>
      <w:r w:rsidDel="00000000" w:rsidR="00000000" w:rsidRPr="00000000">
        <w:rPr>
          <w:rFonts w:ascii="Tahoma" w:cs="Tahoma" w:eastAsia="Tahoma" w:hAnsi="Tahoma"/>
          <w:b w:val="1"/>
          <w:bCs w:val="1"/>
          <w:rtl w:val="0"/>
        </w:rPr>
        <w:t xml:space="preserve"> 4.2. Լեժանդրի սպեկտրալ (հատվածային) նախանշաններ Յուրաքանչյուր փաստաթղթի համար ընտրենք մեկ կամ մի քանի տեքստային f(k)(x) ֆունկցիաներ, օրինակ.՝ • f (1) (x) – S բառարանից եզրույթների (տերմինների) առկայության ինդիկատոր; • f (2) (x) – բանալի (որոշիչ) բառերի լոկալ (տեղային) խտություն; • f (3) (x) – տեքստի պոզիտիվության / նեգատիվության գնահատում։ Յուրաքանչյուր ֆունկցիայի համար հաշվարկվում են Լեժանդրի an (k) գործակիցները մինչև N – 1 կարգն (հաջորդականությունն), ինչն իր հերթին տալիս է սպեկտրալ (հատվածային) նախանշաններ.՝ a(k) = (a0 (k), a1 (k), . . . , a(k)N – 1)։ Նախանշանների հիբրիդային վեկտորը փաստաթղթերի համար ձևավորվում է որպես կոնկատենացիա.՝ z = (TF – IDF – նախանշաններ, a(1), a(2), . . . ):</w:t>
      </w:r>
    </w:p>
    <w:p w:rsidR="00000000" w:rsidDel="00000000" w:rsidP="00000000" w:rsidRDefault="00000000" w:rsidRPr="00000000" w14:paraId="00000006">
      <w:pPr>
        <w:ind w:firstLine="720"/>
        <w:rPr>
          <w:b w:val="1"/>
          <w:bCs w:val="1"/>
        </w:rPr>
      </w:pPr>
      <w:r w:rsidDel="00000000" w:rsidR="00000000" w:rsidRPr="00000000">
        <w:rPr>
          <w:rtl w:val="0"/>
        </w:rPr>
      </w:r>
    </w:p>
    <w:p w:rsidR="00000000" w:rsidDel="00000000" w:rsidP="00000000" w:rsidRDefault="00000000" w:rsidRPr="00000000" w14:paraId="00000007">
      <w:pPr>
        <w:ind w:firstLine="720"/>
        <w:rPr>
          <w:b w:val="1"/>
          <w:bCs w:val="1"/>
        </w:rPr>
      </w:pPr>
      <w:r w:rsidDel="00000000" w:rsidR="00000000" w:rsidRPr="00000000">
        <w:rPr>
          <w:rFonts w:ascii="Tahoma" w:cs="Tahoma" w:eastAsia="Tahoma" w:hAnsi="Tahoma"/>
          <w:b w:val="1"/>
          <w:bCs w:val="1"/>
          <w:rtl w:val="0"/>
        </w:rPr>
        <w:t xml:space="preserve"> 4.3. Խնդիրների օրինակներ • Ժանրերի դասակարգում.՝ տեքստերի ժանրերը (նորություն, գիտական տեքստ, գեղարվեստական գրականություն) կարող են տարբերվել իրարից ոչ միայն լեքսիկորեն, այլև ըստ բովանդակության կառուցվածքային բաշխման.՝ որտե՞ղ են կենտրոնացված բանալի (որոշիչ) բառերը, ինչպե՞ս են կառուցվում ներածական և ամփոփիչ մասերը։ • Անոմալ տեքստերի հայտնաբերում.՝ բանալի (որոշիչ) բառերով արհեստականորեն «հարստացված» տեքստերը կամ ավտոմատ կերպով գեներացված տեքստերը կարող են օժտված լինել փաստաթղթի երկարության վրա ՝ կարևորության բաշխման ատիպիկ կառուցվածքով։ • Ոճերի համեմատություն.՝ Լեժանդրի սպեկտրալ (հատվածային) նախանշաններում կարելի է տարբերություններ տեսնել ոճային առումով տարբեր հեղինակների միջև, հատկապես երկար տեքստերի վերլուծության (անալիզի) ժամանակ։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