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spacing w:after="200" w:before="0"/>
        <w:jc w:val="center"/>
      </w:pPr>
      <w:r>
        <w:rPr>
          <w:rFonts w:ascii="Arial" w:cs="Arial" w:eastAsia="Arial" w:hAnsi="Arial"/>
          <w:b/>
          <w:bCs/>
          <w:caps/>
          <w:color w:val="1565C0"/>
          <w:sz w:val="20"/>
          <w:szCs w:val="20"/>
        </w:rPr>
        <w:t xml:space="preserve">PORTFOLIO RESEARCH REPORT</w:t>
      </w:r>
    </w:p>
    <w:p>
      <w:pPr>
        <w:spacing w:after="160" w:before="0"/>
        <w:jc w:val="center"/>
      </w:pPr>
      <w:r>
        <w:rPr>
          <w:rFonts w:ascii="Arial" w:cs="Arial" w:eastAsia="Arial" w:hAnsi="Arial"/>
          <w:b/>
          <w:bCs/>
          <w:color w:val="0D1B2A"/>
          <w:sz w:val="52"/>
          <w:szCs w:val="52"/>
        </w:rPr>
        <w:t xml:space="preserve">Is the UK Job Market Recovering After 2020?</w:t>
      </w:r>
    </w:p>
    <w:p>
      <w:pPr>
        <w:spacing w:after="400" w:before="0"/>
        <w:jc w:val="center"/>
      </w:pPr>
      <w:r>
        <w:rPr>
          <w:rFonts w:ascii="Arial" w:cs="Arial" w:eastAsia="Arial" w:hAnsi="Arial"/>
          <w:i/>
          <w:iCs/>
          <w:color w:val="444444"/>
          <w:sz w:val="26"/>
          <w:szCs w:val="26"/>
        </w:rPr>
        <w:t xml:space="preserve">A Deep-Dive Evidence Analysis: Impacts, Drivers, and the Road to 2030</w:t>
      </w:r>
    </w:p>
    <w:p>
      <w:pPr>
        <w:pBdr>
          <w:bottom w:val="single" w:color="1565C0" w:sz="6" w:space="1"/>
        </w:pBdr>
        <w:spacing w:after="120" w:before="120"/>
      </w:pPr>
      <w:r>
        <w:t xml:space="preserve"/>
      </w:r>
    </w:p>
    <w:p>
      <w:pPr>
        <w:spacing w:after="200" w:before="200"/>
      </w:pPr>
      <w:r>
        <w:t xml:space="preserve"/>
      </w:r>
    </w:p>
    <w:p>
      <w:pPr>
        <w:spacing w:after="80" w:before="0"/>
        <w:jc w:val="center"/>
      </w:pPr>
      <w:r>
        <w:rPr>
          <w:rFonts w:ascii="Arial" w:cs="Arial" w:eastAsia="Arial" w:hAnsi="Arial"/>
          <w:b/>
          <w:bCs/>
          <w:color w:val="0D1B2A"/>
          <w:sz w:val="30"/>
          <w:szCs w:val="30"/>
        </w:rPr>
        <w:t xml:space="preserve">Gaurav Indora</w:t>
      </w:r>
    </w:p>
    <w:p>
      <w:pPr>
        <w:spacing w:after="60" w:before="0"/>
        <w:jc w:val="center"/>
      </w:pPr>
      <w:r>
        <w:rPr>
          <w:rFonts w:ascii="Arial" w:cs="Arial" w:eastAsia="Arial" w:hAnsi="Arial"/>
          <w:color w:val="555555"/>
          <w:sz w:val="22"/>
          <w:szCs w:val="22"/>
        </w:rPr>
        <w:t xml:space="preserve">Business Analytics Graduate</w:t>
      </w:r>
    </w:p>
    <w:p>
      <w:pPr>
        <w:spacing w:after="200" w:before="0"/>
        <w:jc w:val="center"/>
      </w:pPr>
      <w:r>
        <w:rPr>
          <w:rFonts w:ascii="Arial" w:cs="Arial" w:eastAsia="Arial" w:hAnsi="Arial"/>
          <w:color w:val="1565C0"/>
          <w:sz w:val="22"/>
          <w:szCs w:val="22"/>
        </w:rPr>
        <w:t xml:space="preserve">gauravindora744@gmail.com</w:t>
      </w:r>
    </w:p>
    <w:p>
      <w:pPr>
        <w:spacing w:after="200" w:before="200"/>
      </w:pPr>
      <w:r>
        <w:t xml:space="preserve"/>
      </w:r>
    </w:p>
    <w:p>
      <w:pPr>
        <w:spacing w:after="120" w:before="0"/>
        <w:jc w:val="center"/>
      </w:pPr>
      <w:r>
        <w:rPr>
          <w:rFonts w:ascii="Arial" w:cs="Arial" w:eastAsia="Arial" w:hAnsi="Arial"/>
          <w:color w:val="777777"/>
          <w:sz w:val="22"/>
          <w:szCs w:val="22"/>
        </w:rPr>
        <w:t xml:space="preserve">July 2026</w:t>
      </w:r>
    </w:p>
    <w:p>
      <w:pPr>
        <w:spacing w:after="0" w:before="0"/>
        <w:jc w:val="center"/>
      </w:pPr>
      <w:r>
        <w:rPr>
          <w:rFonts w:ascii="Arial" w:cs="Arial" w:eastAsia="Arial" w:hAnsi="Arial"/>
          <w:color w:val="999999"/>
          <w:sz w:val="18"/>
          <w:szCs w:val="18"/>
        </w:rPr>
        <w:t xml:space="preserve">Sources: ONS · Bank of England · HESA · ISE · DfE · House of Commons Library · KPMG · Resolution Foundation</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D1B2A"/>
          <w:sz w:val="36"/>
          <w:szCs w:val="36"/>
        </w:rPr>
        <w:t xml:space="preserve">Table of Contents</w:t>
      </w:r>
    </w:p>
    <w:p>
      <w:pPr>
        <w:pBdr>
          <w:bottom w:val="single" w:color="1565C0" w:sz="6" w:space="1"/>
        </w:pBdr>
        <w:spacing w:after="120" w:before="120"/>
      </w:pPr>
      <w:r>
        <w:t xml:space="preserve"/>
      </w:r>
    </w:p>
    <w:p>
      <w:pPr>
        <w:spacing w:after="100" w:before="10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D1B2A"/>
          <w:sz w:val="36"/>
          <w:szCs w:val="36"/>
        </w:rPr>
        <w:t xml:space="preserve">1. Executive Summary</w:t>
      </w:r>
    </w:p>
    <w:p>
      <w:pPr>
        <w:pBdr>
          <w:bottom w:val="single" w:color="1565C0" w:sz="6" w:space="1"/>
        </w:pBdr>
        <w:spacing w:after="120" w:before="120"/>
      </w:pPr>
      <w:r>
        <w:t xml:space="preserve"/>
      </w:r>
    </w:p>
    <w:p>
      <w:pPr>
        <w:spacing w:after="120" w:before="60"/>
        <w:jc w:val="both"/>
      </w:pPr>
      <w:r>
        <w:rPr>
          <w:rFonts w:ascii="Arial" w:cs="Arial" w:eastAsia="Arial" w:hAnsi="Arial"/>
          <w:color w:val="222222"/>
          <w:sz w:val="22"/>
          <w:szCs w:val="22"/>
        </w:rPr>
        <w:t xml:space="preserve">The UK labour market entered the 2020s as one of the strongest in its modern history — an employment rate of 76.6% and near-record-low unemployment of 3.9% defined a market that was, by headline measures, working well. COVID-19 shattered that equilibrium in a matter of weeks. What followed was a complex, multi-speed recovery driven by extraordinary government intervention, historic monetary policy shifts, an inflationary shock not seen in 40 years, and structural changes accelerated by automation and artificial intelligence.</w:t>
      </w:r>
    </w:p>
    <w:p>
      <w:pPr>
        <w:spacing w:after="120" w:before="60"/>
        <w:jc w:val="both"/>
      </w:pPr>
      <w:r>
        <w:rPr>
          <w:rFonts w:ascii="Arial" w:cs="Arial" w:eastAsia="Arial" w:hAnsi="Arial"/>
          <w:color w:val="222222"/>
          <w:sz w:val="22"/>
          <w:szCs w:val="22"/>
        </w:rPr>
        <w:t xml:space="preserve">This report investigates not just whether the UK job market is recovering — the answer to which is a conditional yes — but why the recovery has been so unequal, why graduates face the worst graduate job market since 2012, and which structural forces will determine the trajectory to 2030.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none" w:color="FFFFFF" w:sz="0"/>
              <w:bottom w:val="none" w:color="FFFFFF" w:sz="0"/>
              <w:right w:val="none" w:color="FFFFFF" w:sz="0"/>
            </w:tcBorders>
            <w:shd w:fill="D6E4F7"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CENTRAL FINDING</w:t>
            </w:r>
          </w:p>
          <w:p>
            <w:pPr>
              <w:spacing w:after="0" w:before="0"/>
              <w:jc w:val="both"/>
            </w:pPr>
            <w:r>
              <w:rPr>
                <w:rFonts w:ascii="Arial" w:cs="Arial" w:eastAsia="Arial" w:hAnsi="Arial"/>
                <w:color w:val="0D1B2A"/>
                <w:sz w:val="21"/>
                <w:szCs w:val="21"/>
              </w:rPr>
              <w:t xml:space="preserve">The central paradox: The UK officially reports 707,000 open vacancies (May 2026) and an unemployment rate of 4.9%. Yet graduate vacancies are at their lowest since 2012, the NEET count exceeded 1 million for the first time since 2013, and employers received a median 140 applications per graduate vacancy in 2025 — nearly four times the 2002-03 level. Something is fundamentally broken at the entry level.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Indicator</w:t>
            </w:r>
          </w:p>
        </w:tc>
        <w:tc>
          <w:tcPr>
            <w:tcW w:type="dxa" w:w="39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Value / Data Point</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Employment rate (Feb-Apr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75.0% (down from 76.6% pre-pandemic)</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Unemployment rate (Feb-Apr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4.9% (1.76 million people)</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Total vacancies (Mar-May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707,000 — below pre-pandemic levels</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Graduate vacancies (2024/25)</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Lowest since 2012 (ISE Survey)</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NEET young people (Q1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1.01 million — highest since 2013</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Median applications per grad vacancy</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140 (vs 38 in 2002-03)</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BoE Base Rate (Jun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3.75% (down from 5.25% peak, Aug 2023)</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CPI Inflation (May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2.8% (BoE target: 2.0%)</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GDP growth forecast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0.7% — subdued</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Long-term sick economically inactive</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2.8 million (record high, Dec 23–Feb 24)</w:t>
            </w:r>
          </w:p>
        </w:tc>
      </w:tr>
    </w:tbl>
    <w:p>
      <w:r>
        <w:br w:type="page"/>
      </w:r>
    </w:p>
    <w:p>
      <w:pPr>
        <w:pStyle w:val="Heading1"/>
        <w:spacing w:after="200" w:before="360"/>
      </w:pPr>
      <w:r>
        <w:rPr>
          <w:rFonts w:ascii="Arial" w:cs="Arial" w:eastAsia="Arial" w:hAnsi="Arial"/>
          <w:b/>
          <w:bCs/>
          <w:color w:val="0D1B2A"/>
          <w:sz w:val="36"/>
          <w:szCs w:val="36"/>
        </w:rPr>
        <w:t xml:space="preserve">2. The Central Contradiction</w:t>
      </w:r>
    </w:p>
    <w:p>
      <w:pPr>
        <w:pBdr>
          <w:bottom w:val="single" w:color="1565C0" w:sz="6" w:space="1"/>
        </w:pBdr>
        <w:spacing w:after="120" w:before="120"/>
      </w:pPr>
      <w:r>
        <w:t xml:space="preserve"/>
      </w:r>
    </w:p>
    <w:p>
      <w:pPr>
        <w:pStyle w:val="Heading2"/>
        <w:spacing w:after="140" w:before="280"/>
      </w:pPr>
      <w:r>
        <w:rPr>
          <w:rFonts w:ascii="Arial" w:cs="Arial" w:eastAsia="Arial" w:hAnsi="Arial"/>
          <w:b/>
          <w:bCs/>
          <w:color w:val="1565C0"/>
          <w:sz w:val="28"/>
          <w:szCs w:val="28"/>
        </w:rPr>
        <w:t xml:space="preserve">2.1 What Official Statistics Say</w:t>
      </w:r>
    </w:p>
    <w:p>
      <w:pPr>
        <w:spacing w:after="120" w:before="60"/>
        <w:jc w:val="both"/>
      </w:pPr>
      <w:r>
        <w:rPr>
          <w:rFonts w:ascii="Arial" w:cs="Arial" w:eastAsia="Arial" w:hAnsi="Arial"/>
          <w:color w:val="222222"/>
          <w:sz w:val="22"/>
          <w:szCs w:val="22"/>
        </w:rPr>
        <w:t xml:space="preserve">On the surface, the UK's labour market looks resilient. Unemployment at 4.9% is historically low. Over 700,000 vacancies remain open. Nominal wages grew by 5%+ year-on-year through 2024. The government points to these figures as evidence of recovery.</w:t>
      </w:r>
    </w:p>
    <w:p>
      <w:pPr>
        <w:pStyle w:val="Heading2"/>
        <w:spacing w:after="140" w:before="280"/>
      </w:pPr>
      <w:r>
        <w:rPr>
          <w:rFonts w:ascii="Arial" w:cs="Arial" w:eastAsia="Arial" w:hAnsi="Arial"/>
          <w:b/>
          <w:bCs/>
          <w:color w:val="1565C0"/>
          <w:sz w:val="28"/>
          <w:szCs w:val="28"/>
        </w:rPr>
        <w:t xml:space="preserve">2.2 What Graduates and Young Workers Experience</w:t>
      </w:r>
    </w:p>
    <w:p>
      <w:pPr>
        <w:spacing w:after="120" w:before="60"/>
        <w:jc w:val="both"/>
      </w:pPr>
      <w:r>
        <w:rPr>
          <w:rFonts w:ascii="Arial" w:cs="Arial" w:eastAsia="Arial" w:hAnsi="Arial"/>
          <w:color w:val="222222"/>
          <w:sz w:val="22"/>
          <w:szCs w:val="22"/>
        </w:rPr>
        <w:t xml:space="preserve">The headline statistics mask a deeply fractured market. Three separate data sources converge on the same conclusion:</w:t>
      </w:r>
    </w:p>
    <w:p>
      <w:pPr>
        <w:pStyle w:val="ListParagraph"/>
        <w:numPr>
          <w:ilvl w:val="0"/>
          <w:numId w:val="2"/>
        </w:numPr>
        <w:spacing w:after="80" w:before="40"/>
      </w:pPr>
      <w:r>
        <w:rPr>
          <w:rFonts w:ascii="Arial" w:cs="Arial" w:eastAsia="Arial" w:hAnsi="Arial"/>
          <w:b/>
          <w:bCs/>
          <w:color w:val="222222"/>
          <w:sz w:val="22"/>
          <w:szCs w:val="22"/>
        </w:rPr>
        <w:t xml:space="preserve">ISE Student Recruitment Survey 2025: </w:t>
      </w:r>
      <w:r>
        <w:rPr>
          <w:rFonts w:ascii="Arial" w:cs="Arial" w:eastAsia="Arial" w:hAnsi="Arial"/>
          <w:sz w:val="22"/>
          <w:szCs w:val="22"/>
        </w:rPr>
        <w:t xml:space="preserve">Graduate hires fell 8% between 2023/24 and 2024/25. UK graduate vacancies hit their lowest since 2012. Employers received an average of 1.8 million applications for just 31,000+ early careers roles — roughly 58 applications per role, with the median even higher at 140 per vacancy.</w:t>
      </w:r>
    </w:p>
    <w:p>
      <w:pPr>
        <w:pStyle w:val="ListParagraph"/>
        <w:numPr>
          <w:ilvl w:val="0"/>
          <w:numId w:val="2"/>
        </w:numPr>
        <w:spacing w:after="80" w:before="40"/>
      </w:pPr>
      <w:r>
        <w:rPr>
          <w:rFonts w:ascii="Arial" w:cs="Arial" w:eastAsia="Arial" w:hAnsi="Arial"/>
          <w:b/>
          <w:bCs/>
          <w:color w:val="222222"/>
          <w:sz w:val="22"/>
          <w:szCs w:val="22"/>
        </w:rPr>
        <w:t xml:space="preserve">HESA Graduate Outcomes (2023/24 cohort): </w:t>
      </w:r>
      <w:r>
        <w:rPr>
          <w:rFonts w:ascii="Arial" w:cs="Arial" w:eastAsia="Arial" w:hAnsi="Arial"/>
          <w:sz w:val="22"/>
          <w:szCs w:val="22"/>
        </w:rPr>
        <w:t xml:space="preserve">88% of 2022/23 graduates were in work or further study within 15 months — but just 53.2% were in full-time graduate-level employment. The rest were in non-graduate roles, part-time work, or still searching.</w:t>
      </w:r>
    </w:p>
    <w:p>
      <w:pPr>
        <w:pStyle w:val="ListParagraph"/>
        <w:numPr>
          <w:ilvl w:val="0"/>
          <w:numId w:val="2"/>
        </w:numPr>
        <w:spacing w:after="80" w:before="40"/>
      </w:pPr>
      <w:r>
        <w:rPr>
          <w:rFonts w:ascii="Arial" w:cs="Arial" w:eastAsia="Arial" w:hAnsi="Arial"/>
          <w:b/>
          <w:bCs/>
          <w:color w:val="222222"/>
          <w:sz w:val="22"/>
          <w:szCs w:val="22"/>
        </w:rPr>
        <w:t xml:space="preserve">ONS NEET data (Q1 2026): </w:t>
      </w:r>
      <w:r>
        <w:rPr>
          <w:rFonts w:ascii="Arial" w:cs="Arial" w:eastAsia="Arial" w:hAnsi="Arial"/>
          <w:sz w:val="22"/>
          <w:szCs w:val="22"/>
        </w:rPr>
        <w:t xml:space="preserve">1.01 million young people aged 16-24 were not in education, employment or training — breaching 1 million for the first time since 2013 and representing 13.5% of the age group. Young people are now more likely to be economically inactive than unemployed in this cohort (57% vs 43%).</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none" w:color="FFFFFF" w:sz="0"/>
              <w:bottom w:val="none" w:color="FFFFFF" w:sz="0"/>
              <w:right w:val="none" w:color="FFFFFF" w:sz="0"/>
            </w:tcBorders>
            <w:shd w:fill="FDECEA"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WHY THE STATISTICS LIE</w:t>
            </w:r>
          </w:p>
          <w:p>
            <w:pPr>
              <w:spacing w:after="0" w:before="0"/>
              <w:jc w:val="both"/>
            </w:pPr>
            <w:r>
              <w:rPr>
                <w:rFonts w:ascii="Arial" w:cs="Arial" w:eastAsia="Arial" w:hAnsi="Arial"/>
                <w:color w:val="0D1B2A"/>
                <w:sz w:val="21"/>
                <w:szCs w:val="21"/>
              </w:rPr>
              <w:t xml:space="preserve">The mismatch is not a failure of effort — it is structural. Graduates are applying to more roles than ever (often 200-500 per person), waiting longer for decisions, and finding that even entry-level roles require experience they cannot acquire without a first job. The official statistics are measuring the wrong thing.</w:t>
            </w:r>
          </w:p>
        </w:tc>
      </w:tr>
    </w:tbl>
    <w:p>
      <w:r>
        <w:br w:type="page"/>
      </w:r>
    </w:p>
    <w:p>
      <w:pPr>
        <w:pStyle w:val="Heading1"/>
        <w:spacing w:after="200" w:before="360"/>
      </w:pPr>
      <w:r>
        <w:rPr>
          <w:rFonts w:ascii="Arial" w:cs="Arial" w:eastAsia="Arial" w:hAnsi="Arial"/>
          <w:b/>
          <w:bCs/>
          <w:color w:val="0D1B2A"/>
          <w:sz w:val="36"/>
          <w:szCs w:val="36"/>
        </w:rPr>
        <w:t xml:space="preserve">3. Major Impacts on the UK Job Market Post-2020</w:t>
      </w:r>
    </w:p>
    <w:p>
      <w:pPr>
        <w:pBdr>
          <w:bottom w:val="single" w:color="1565C0" w:sz="6" w:space="1"/>
        </w:pBdr>
        <w:spacing w:after="120" w:before="120"/>
      </w:pPr>
      <w:r>
        <w:t xml:space="preserve"/>
      </w:r>
    </w:p>
    <w:p>
      <w:pPr>
        <w:pStyle w:val="Heading2"/>
        <w:spacing w:after="140" w:before="280"/>
      </w:pPr>
      <w:r>
        <w:rPr>
          <w:rFonts w:ascii="Arial" w:cs="Arial" w:eastAsia="Arial" w:hAnsi="Arial"/>
          <w:b/>
          <w:bCs/>
          <w:color w:val="1565C0"/>
          <w:sz w:val="28"/>
          <w:szCs w:val="28"/>
        </w:rPr>
        <w:t xml:space="preserve">3.1 Impact 1: The COVID-19 Employment Shock (2020)</w:t>
      </w:r>
    </w:p>
    <w:p>
      <w:pPr>
        <w:spacing w:after="120" w:before="60"/>
        <w:jc w:val="both"/>
      </w:pPr>
      <w:r>
        <w:rPr>
          <w:rFonts w:ascii="Arial" w:cs="Arial" w:eastAsia="Arial" w:hAnsi="Arial"/>
          <w:color w:val="222222"/>
          <w:sz w:val="22"/>
          <w:szCs w:val="22"/>
        </w:rPr>
        <w:t xml:space="preserve">The pandemic delivered the sharpest peacetime contraction in UK economic history. GDP fell 19.8% in Q2 2020 alone — a fall larger than any single-quarter decline in the Great Depression. The immediate impact on employment was severe, though partly masked by the Coronavirus Job Retention Scheme (furlough), which at its peak covered 8.9 million workers.</w:t>
      </w:r>
    </w:p>
    <w:p>
      <w:pPr>
        <w:pStyle w:val="ListParagraph"/>
        <w:numPr>
          <w:ilvl w:val="0"/>
          <w:numId w:val="2"/>
        </w:numPr>
        <w:spacing w:after="80" w:before="40"/>
      </w:pPr>
      <w:r>
        <w:rPr>
          <w:rFonts w:ascii="Arial" w:cs="Arial" w:eastAsia="Arial" w:hAnsi="Arial"/>
          <w:b/>
          <w:bCs/>
          <w:color w:val="222222"/>
          <w:sz w:val="22"/>
          <w:szCs w:val="22"/>
        </w:rPr>
        <w:t xml:space="preserve">Employment rate fall: </w:t>
      </w:r>
      <w:r>
        <w:rPr>
          <w:rFonts w:ascii="Arial" w:cs="Arial" w:eastAsia="Arial" w:hAnsi="Arial"/>
          <w:sz w:val="22"/>
          <w:szCs w:val="22"/>
        </w:rPr>
        <w:t xml:space="preserve">From 76.6% (Q4 2019) to 74.4% (Q3 2020) — a drop of 2.2 percentage points representing approximately 800,000 jobs.</w:t>
      </w:r>
    </w:p>
    <w:p>
      <w:pPr>
        <w:pStyle w:val="ListParagraph"/>
        <w:numPr>
          <w:ilvl w:val="0"/>
          <w:numId w:val="2"/>
        </w:numPr>
        <w:spacing w:after="80" w:before="40"/>
      </w:pPr>
      <w:r>
        <w:rPr>
          <w:rFonts w:ascii="Arial" w:cs="Arial" w:eastAsia="Arial" w:hAnsi="Arial"/>
          <w:b/>
          <w:bCs/>
          <w:color w:val="222222"/>
          <w:sz w:val="22"/>
          <w:szCs w:val="22"/>
        </w:rPr>
        <w:t xml:space="preserve">Vacancies collapsed: </w:t>
      </w:r>
      <w:r>
        <w:rPr>
          <w:rFonts w:ascii="Arial" w:cs="Arial" w:eastAsia="Arial" w:hAnsi="Arial"/>
          <w:sz w:val="22"/>
          <w:szCs w:val="22"/>
        </w:rPr>
        <w:t xml:space="preserve">From around 820,000 (Q4 2019) to 476,000 (Q2 2020) — a 42% fall in three months.</w:t>
      </w:r>
    </w:p>
    <w:p>
      <w:pPr>
        <w:pStyle w:val="ListParagraph"/>
        <w:numPr>
          <w:ilvl w:val="0"/>
          <w:numId w:val="2"/>
        </w:numPr>
        <w:spacing w:after="80" w:before="40"/>
      </w:pPr>
      <w:r>
        <w:rPr>
          <w:rFonts w:ascii="Arial" w:cs="Arial" w:eastAsia="Arial" w:hAnsi="Arial"/>
          <w:b/>
          <w:bCs/>
          <w:color w:val="222222"/>
          <w:sz w:val="22"/>
          <w:szCs w:val="22"/>
        </w:rPr>
        <w:t xml:space="preserve">Furlough dependency: </w:t>
      </w:r>
      <w:r>
        <w:rPr>
          <w:rFonts w:ascii="Arial" w:cs="Arial" w:eastAsia="Arial" w:hAnsi="Arial"/>
          <w:sz w:val="22"/>
          <w:szCs w:val="22"/>
        </w:rPr>
        <w:t xml:space="preserve">8.9 million workers on furlough at peak (May 2020). The scheme cost £70 billion in total but prevented mass unemployment exceeding 10%.</w:t>
      </w:r>
    </w:p>
    <w:p>
      <w:pPr>
        <w:pStyle w:val="ListParagraph"/>
        <w:numPr>
          <w:ilvl w:val="0"/>
          <w:numId w:val="2"/>
        </w:numPr>
        <w:spacing w:after="80" w:before="40"/>
      </w:pPr>
      <w:r>
        <w:rPr>
          <w:rFonts w:ascii="Arial" w:cs="Arial" w:eastAsia="Arial" w:hAnsi="Arial"/>
          <w:b/>
          <w:bCs/>
          <w:color w:val="222222"/>
          <w:sz w:val="22"/>
          <w:szCs w:val="22"/>
        </w:rPr>
        <w:t xml:space="preserve">Sectoral devastation: </w:t>
      </w:r>
      <w:r>
        <w:rPr>
          <w:rFonts w:ascii="Arial" w:cs="Arial" w:eastAsia="Arial" w:hAnsi="Arial"/>
          <w:sz w:val="22"/>
          <w:szCs w:val="22"/>
        </w:rPr>
        <w:t xml:space="preserve">Hospitality, retail, travel, and arts/culture saw near-total revenue loss. Aviation, accommodation and food services saw employment fall 25-35%.</w:t>
      </w:r>
    </w:p>
    <w:p>
      <w:pPr>
        <w:pStyle w:val="ListParagraph"/>
        <w:numPr>
          <w:ilvl w:val="0"/>
          <w:numId w:val="2"/>
        </w:numPr>
        <w:spacing w:after="80" w:before="40"/>
      </w:pPr>
      <w:r>
        <w:rPr>
          <w:rFonts w:ascii="Arial" w:cs="Arial" w:eastAsia="Arial" w:hAnsi="Arial"/>
          <w:b/>
          <w:bCs/>
          <w:color w:val="222222"/>
          <w:sz w:val="22"/>
          <w:szCs w:val="22"/>
        </w:rPr>
        <w:t xml:space="preserve">Graduate cohort disruption: </w:t>
      </w:r>
      <w:r>
        <w:rPr>
          <w:rFonts w:ascii="Arial" w:cs="Arial" w:eastAsia="Arial" w:hAnsi="Arial"/>
          <w:sz w:val="22"/>
          <w:szCs w:val="22"/>
        </w:rPr>
        <w:t xml:space="preserve">The 2020 and 2021 graduating cohorts entered a frozen labour market. Many took non-graduate roles or pursued postgraduate study, creating a two-year 'backlog' cohort that competed with subsequent graduates through 2022-2024.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none" w:color="FFFFFF" w:sz="0"/>
              <w:bottom w:val="none" w:color="FFFFFF" w:sz="0"/>
              <w:right w:val="none" w:color="FFFFFF" w:sz="0"/>
            </w:tcBorders>
            <w:shd w:fill="FFF8E1" w:val="clear"/>
            <w:tcMar>
              <w:top w:type="dxa" w:w="100"/>
              <w:left w:type="dxa" w:w="140"/>
              <w:bottom w:type="dxa" w:w="100"/>
              <w:right w:type="dxa" w:w="140"/>
            </w:tcMar>
          </w:tcPr>
          <w:p>
            <w:pPr>
              <w:spacing w:after="0" w:before="0"/>
              <w:jc w:val="both"/>
            </w:pPr>
            <w:r>
              <w:rPr>
                <w:rFonts w:ascii="Arial" w:cs="Arial" w:eastAsia="Arial" w:hAnsi="Arial"/>
                <w:color w:val="0D1B2A"/>
                <w:sz w:val="21"/>
                <w:szCs w:val="21"/>
              </w:rPr>
              <w:t xml:space="preserve">Long-run scarring: Economic research (Resolution Foundation, 2021) estimates that entering the labour market during a recession reduces lifetime earnings by 5-15%. The 2020 and 2021 cohorts face persistent wage penalties. This is the original wound that subsequent shocks compounded.</w:t>
            </w:r>
          </w:p>
        </w:tc>
      </w:tr>
    </w:tbl>
    <w:p>
      <w:pPr>
        <w:spacing w:after="100" w:before="100"/>
      </w:pPr>
      <w:r>
        <w:t xml:space="preserve"/>
      </w:r>
    </w:p>
    <w:p>
      <w:pPr>
        <w:pStyle w:val="Heading2"/>
        <w:spacing w:after="140" w:before="280"/>
      </w:pPr>
      <w:r>
        <w:rPr>
          <w:rFonts w:ascii="Arial" w:cs="Arial" w:eastAsia="Arial" w:hAnsi="Arial"/>
          <w:b/>
          <w:bCs/>
          <w:color w:val="1565C0"/>
          <w:sz w:val="28"/>
          <w:szCs w:val="28"/>
        </w:rPr>
        <w:t xml:space="preserve">3.2 Impact 2: The False Recovery and Vacancy Surge (2021-2022)</w:t>
      </w:r>
    </w:p>
    <w:p>
      <w:pPr>
        <w:spacing w:after="120" w:before="60"/>
        <w:jc w:val="both"/>
      </w:pPr>
      <w:r>
        <w:rPr>
          <w:rFonts w:ascii="Arial" w:cs="Arial" w:eastAsia="Arial" w:hAnsi="Arial"/>
          <w:color w:val="222222"/>
          <w:sz w:val="22"/>
          <w:szCs w:val="22"/>
        </w:rPr>
        <w:t xml:space="preserve">As furlough ended and the economy reopened, vacancies exploded to historic highs. Total UK vacancies peaked at 1,295,000 in Q2 2022 — a level never previously recorded. This created a misleading narrative of boom-time hiring that masked deep structural problems:</w:t>
      </w:r>
    </w:p>
    <w:p>
      <w:pPr>
        <w:pStyle w:val="ListParagraph"/>
        <w:numPr>
          <w:ilvl w:val="0"/>
          <w:numId w:val="2"/>
        </w:numPr>
        <w:spacing w:after="80" w:before="40"/>
      </w:pPr>
      <w:r>
        <w:rPr>
          <w:rFonts w:ascii="Arial" w:cs="Arial" w:eastAsia="Arial" w:hAnsi="Arial"/>
          <w:b/>
          <w:bCs/>
          <w:color w:val="222222"/>
          <w:sz w:val="22"/>
          <w:szCs w:val="22"/>
        </w:rPr>
        <w:t xml:space="preserve">Labour shortages: </w:t>
      </w:r>
      <w:r>
        <w:rPr>
          <w:rFonts w:ascii="Arial" w:cs="Arial" w:eastAsia="Arial" w:hAnsi="Arial"/>
          <w:sz w:val="22"/>
          <w:szCs w:val="22"/>
        </w:rPr>
        <w:t xml:space="preserve">Post-Brexit reduction in EU workers combined with COVID-driven career exits created acute shortages in logistics, hospitality, healthcare and social care — not in graduate-level roles.</w:t>
      </w:r>
    </w:p>
    <w:p>
      <w:pPr>
        <w:pStyle w:val="ListParagraph"/>
        <w:numPr>
          <w:ilvl w:val="0"/>
          <w:numId w:val="2"/>
        </w:numPr>
        <w:spacing w:after="80" w:before="40"/>
      </w:pPr>
      <w:r>
        <w:rPr>
          <w:rFonts w:ascii="Arial" w:cs="Arial" w:eastAsia="Arial" w:hAnsi="Arial"/>
          <w:b/>
          <w:bCs/>
          <w:color w:val="222222"/>
          <w:sz w:val="22"/>
          <w:szCs w:val="22"/>
        </w:rPr>
        <w:t xml:space="preserve">Mismatch with graduate skills: </w:t>
      </w:r>
      <w:r>
        <w:rPr>
          <w:rFonts w:ascii="Arial" w:cs="Arial" w:eastAsia="Arial" w:hAnsi="Arial"/>
          <w:sz w:val="22"/>
          <w:szCs w:val="22"/>
        </w:rPr>
        <w:t xml:space="preserve">The roles being advertised en masse were not the roles graduates wanted. HGV driver shortages and care worker vacancies drove headline numbers while graduate analyst roles remained flat.</w:t>
      </w:r>
    </w:p>
    <w:p>
      <w:pPr>
        <w:pStyle w:val="ListParagraph"/>
        <w:numPr>
          <w:ilvl w:val="0"/>
          <w:numId w:val="2"/>
        </w:numPr>
        <w:spacing w:after="80" w:before="40"/>
      </w:pPr>
      <w:r>
        <w:rPr>
          <w:rFonts w:ascii="Arial" w:cs="Arial" w:eastAsia="Arial" w:hAnsi="Arial"/>
          <w:b/>
          <w:bCs/>
          <w:color w:val="222222"/>
          <w:sz w:val="22"/>
          <w:szCs w:val="22"/>
        </w:rPr>
        <w:t xml:space="preserve">Wage pressure in wrong sectors: </w:t>
      </w:r>
      <w:r>
        <w:rPr>
          <w:rFonts w:ascii="Arial" w:cs="Arial" w:eastAsia="Arial" w:hAnsi="Arial"/>
          <w:sz w:val="22"/>
          <w:szCs w:val="22"/>
        </w:rPr>
        <w:t xml:space="preserve">Tight labour markets in manual and service sectors drove wages up in those areas, while graduate roles in finance, analytics and professional services saw more muted increases.</w:t>
      </w:r>
    </w:p>
    <w:p>
      <w:pPr>
        <w:pStyle w:val="ListParagraph"/>
        <w:numPr>
          <w:ilvl w:val="0"/>
          <w:numId w:val="2"/>
        </w:numPr>
        <w:spacing w:after="80" w:before="40"/>
      </w:pPr>
      <w:r>
        <w:rPr>
          <w:rFonts w:ascii="Arial" w:cs="Arial" w:eastAsia="Arial" w:hAnsi="Arial"/>
          <w:b/>
          <w:bCs/>
          <w:color w:val="222222"/>
          <w:sz w:val="22"/>
          <w:szCs w:val="22"/>
        </w:rPr>
        <w:t xml:space="preserve">Employers over-hired: </w:t>
      </w:r>
      <w:r>
        <w:rPr>
          <w:rFonts w:ascii="Arial" w:cs="Arial" w:eastAsia="Arial" w:hAnsi="Arial"/>
          <w:sz w:val="22"/>
          <w:szCs w:val="22"/>
        </w:rPr>
        <w:t xml:space="preserve">Many firms — particularly in tech and e-commerce — hired aggressively in 2021-22 anticipating continued pandemic-era demand. By 2022-23, over-hiring led to layoffs (Amazon, Meta, Twitter/X all cut UK headcount).</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3.3 Impact 3: The Inflation Shock and Real Wage Crisis (2022-2023)</w:t>
      </w:r>
    </w:p>
    <w:p>
      <w:pPr>
        <w:spacing w:after="120" w:before="60"/>
        <w:jc w:val="both"/>
      </w:pPr>
      <w:r>
        <w:rPr>
          <w:rFonts w:ascii="Arial" w:cs="Arial" w:eastAsia="Arial" w:hAnsi="Arial"/>
          <w:color w:val="222222"/>
          <w:sz w:val="22"/>
          <w:szCs w:val="22"/>
        </w:rPr>
        <w:t xml:space="preserve">CPI inflation peaked at 11.1% in October 2022 — the highest since 1981. This created the worst real wage squeeze since records began, with knock-on effects across the entire labour market.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680"/>
        <w:gridCol w:w="1680"/>
        <w:gridCol w:w="2640"/>
      </w:tblGrid>
      <w:tr>
        <w:tc>
          <w:tcPr>
            <w:tcW w:type="dxa" w:w="15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Year</w:t>
            </w:r>
          </w:p>
        </w:tc>
        <w:tc>
          <w:tcPr>
            <w:tcW w:type="dxa" w:w="18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Nominal Wage Growth</w:t>
            </w:r>
          </w:p>
        </w:tc>
        <w:tc>
          <w:tcPr>
            <w:tcW w:type="dxa" w:w="16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CPI Inflation</w:t>
            </w:r>
          </w:p>
        </w:tc>
        <w:tc>
          <w:tcPr>
            <w:tcW w:type="dxa" w:w="16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Real Wage Change</w:t>
            </w:r>
          </w:p>
        </w:tc>
        <w:tc>
          <w:tcPr>
            <w:tcW w:type="dxa" w:w="264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Impact</w:t>
            </w:r>
          </w:p>
        </w:tc>
      </w:tr>
      <w:tr>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2021</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+4.1%</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2.6%</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+1.5%</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Modest positive</w:t>
            </w:r>
          </w:p>
        </w:tc>
      </w:tr>
      <w:tr>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2022</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+5.8%</w:t>
            </w:r>
          </w:p>
        </w:tc>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9.1%</w:t>
            </w:r>
          </w:p>
        </w:tc>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-3.3%</w:t>
            </w:r>
          </w:p>
        </w:tc>
        <w:tc>
          <w:tcPr>
            <w:tcW w:type="dxa" w:w="26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Sharp fall — worst in decades</w:t>
            </w:r>
          </w:p>
        </w:tc>
      </w:tr>
      <w:tr>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2023 H1</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+7.3%</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7.9%</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-0.6%</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Near-zero real growth</w:t>
            </w:r>
          </w:p>
        </w:tc>
      </w:tr>
      <w:tr>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2023 H2</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+8.0%</w:t>
            </w:r>
          </w:p>
        </w:tc>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5.2%</w:t>
            </w:r>
          </w:p>
        </w:tc>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+2.8%</w:t>
            </w:r>
          </w:p>
        </w:tc>
        <w:tc>
          <w:tcPr>
            <w:tcW w:type="dxa" w:w="26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Recovery begins</w:t>
            </w:r>
          </w:p>
        </w:tc>
      </w:tr>
      <w:tr>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2024</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+5.9%</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2.6%</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+3.3%</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Real wage growth positive</w:t>
            </w:r>
          </w:p>
        </w:tc>
      </w:tr>
      <w:tr>
        <w:tc>
          <w:tcPr>
            <w:tcW w:type="dxa" w:w="1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2025</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+4.2%</w:t>
            </w:r>
          </w:p>
        </w:tc>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3.1%</w:t>
            </w:r>
          </w:p>
        </w:tc>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+1.1%</w:t>
            </w:r>
          </w:p>
        </w:tc>
        <w:tc>
          <w:tcPr>
            <w:tcW w:type="dxa" w:w="26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Normalising but slowing</w:t>
            </w:r>
          </w:p>
        </w:tc>
      </w:tr>
    </w:tbl>
    <w:p>
      <w:pPr>
        <w:spacing w:after="100" w:before="100"/>
      </w:pPr>
      <w:r>
        <w:t xml:space="preserve"/>
      </w:r>
    </w:p>
    <w:p>
      <w:pPr>
        <w:pStyle w:val="ListParagraph"/>
        <w:numPr>
          <w:ilvl w:val="0"/>
          <w:numId w:val="2"/>
        </w:numPr>
        <w:spacing w:after="80" w:before="40"/>
      </w:pPr>
      <w:r>
        <w:rPr>
          <w:rFonts w:ascii="Arial" w:cs="Arial" w:eastAsia="Arial" w:hAnsi="Arial"/>
          <w:b/>
          <w:bCs/>
          <w:color w:val="222222"/>
          <w:sz w:val="22"/>
          <w:szCs w:val="22"/>
        </w:rPr>
        <w:t xml:space="preserve">Consumer squeeze: </w:t>
      </w:r>
      <w:r>
        <w:rPr>
          <w:rFonts w:ascii="Arial" w:cs="Arial" w:eastAsia="Arial" w:hAnsi="Arial"/>
          <w:sz w:val="22"/>
          <w:szCs w:val="22"/>
        </w:rPr>
        <w:t xml:space="preserve">Real household disposable income fell for six consecutive quarters (2022-2023), the longest sustained fall since ONS records began.</w:t>
      </w:r>
    </w:p>
    <w:p>
      <w:pPr>
        <w:pStyle w:val="ListParagraph"/>
        <w:numPr>
          <w:ilvl w:val="0"/>
          <w:numId w:val="2"/>
        </w:numPr>
        <w:spacing w:after="80" w:before="40"/>
      </w:pPr>
      <w:r>
        <w:rPr>
          <w:rFonts w:ascii="Arial" w:cs="Arial" w:eastAsia="Arial" w:hAnsi="Arial"/>
          <w:b/>
          <w:bCs/>
          <w:color w:val="222222"/>
          <w:sz w:val="22"/>
          <w:szCs w:val="22"/>
        </w:rPr>
        <w:t xml:space="preserve">Strike wave: </w:t>
      </w:r>
      <w:r>
        <w:rPr>
          <w:rFonts w:ascii="Arial" w:cs="Arial" w:eastAsia="Arial" w:hAnsi="Arial"/>
          <w:sz w:val="22"/>
          <w:szCs w:val="22"/>
        </w:rPr>
        <w:t xml:space="preserve">NHS, rail, teachers, civil servants and Royal Mail all took industrial action in 2022-2023, the largest wave of strikes since the 1970s.</w:t>
      </w:r>
    </w:p>
    <w:p>
      <w:pPr>
        <w:pStyle w:val="ListParagraph"/>
        <w:numPr>
          <w:ilvl w:val="0"/>
          <w:numId w:val="2"/>
        </w:numPr>
        <w:spacing w:after="80" w:before="40"/>
      </w:pPr>
      <w:r>
        <w:rPr>
          <w:rFonts w:ascii="Arial" w:cs="Arial" w:eastAsia="Arial" w:hAnsi="Arial"/>
          <w:b/>
          <w:bCs/>
          <w:color w:val="222222"/>
          <w:sz w:val="22"/>
          <w:szCs w:val="22"/>
        </w:rPr>
        <w:t xml:space="preserve">Hiring suppression: </w:t>
      </w:r>
      <w:r>
        <w:rPr>
          <w:rFonts w:ascii="Arial" w:cs="Arial" w:eastAsia="Arial" w:hAnsi="Arial"/>
          <w:sz w:val="22"/>
          <w:szCs w:val="22"/>
        </w:rPr>
        <w:t xml:space="preserve">Companies facing higher input costs, energy bills, and squeezed margins reduced discretionary hiring. Graduate intake programmes were first to be cut.</w:t>
      </w:r>
    </w:p>
    <w:p>
      <w:pPr>
        <w:pStyle w:val="ListParagraph"/>
        <w:numPr>
          <w:ilvl w:val="0"/>
          <w:numId w:val="2"/>
        </w:numPr>
        <w:spacing w:after="80" w:before="40"/>
      </w:pPr>
      <w:r>
        <w:rPr>
          <w:rFonts w:ascii="Arial" w:cs="Arial" w:eastAsia="Arial" w:hAnsi="Arial"/>
          <w:b/>
          <w:bCs/>
          <w:color w:val="222222"/>
          <w:sz w:val="22"/>
          <w:szCs w:val="22"/>
        </w:rPr>
        <w:t xml:space="preserve">Graduate salary gap: </w:t>
      </w:r>
      <w:r>
        <w:rPr>
          <w:rFonts w:ascii="Arial" w:cs="Arial" w:eastAsia="Arial" w:hAnsi="Arial"/>
          <w:sz w:val="22"/>
          <w:szCs w:val="22"/>
        </w:rPr>
        <w:t xml:space="preserve">Starting graduate salaries rose to a median of around £28,000 in 2025 — but with inflation, this represented less purchasing power than £25,000 in 2019.</w:t>
      </w:r>
    </w:p>
    <w:p>
      <w:r>
        <w:br w:type="page"/>
      </w:r>
    </w:p>
    <w:p>
      <w:pPr>
        <w:pStyle w:val="Heading2"/>
        <w:spacing w:after="140" w:before="280"/>
      </w:pPr>
      <w:r>
        <w:rPr>
          <w:rFonts w:ascii="Arial" w:cs="Arial" w:eastAsia="Arial" w:hAnsi="Arial"/>
          <w:b/>
          <w:bCs/>
          <w:color w:val="1565C0"/>
          <w:sz w:val="28"/>
          <w:szCs w:val="28"/>
        </w:rPr>
        <w:t xml:space="preserve">3.4 Impact 4: The Interest Rate Shock and Hiring Freeze (2022-2024)</w:t>
      </w:r>
    </w:p>
    <w:p>
      <w:pPr>
        <w:spacing w:after="120" w:before="60"/>
        <w:jc w:val="both"/>
      </w:pPr>
      <w:r>
        <w:rPr>
          <w:rFonts w:ascii="Arial" w:cs="Arial" w:eastAsia="Arial" w:hAnsi="Arial"/>
          <w:color w:val="222222"/>
          <w:sz w:val="22"/>
          <w:szCs w:val="22"/>
        </w:rPr>
        <w:t xml:space="preserve">The Bank of England's Monetary Policy Committee raised the base rate from 0.1% (historic emergency low) to 5.25% between December 2021 and August 2023 — the fastest and largest rate rise in 25 years. The impact on hiring was severe and measurable.</w:t>
      </w:r>
    </w:p>
    <w:p>
      <w:pPr>
        <w:pStyle w:val="ListParagraph"/>
        <w:numPr>
          <w:ilvl w:val="0"/>
          <w:numId w:val="2"/>
        </w:numPr>
        <w:spacing w:after="80" w:before="40"/>
      </w:pPr>
      <w:r>
        <w:rPr>
          <w:rFonts w:ascii="Arial" w:cs="Arial" w:eastAsia="Arial" w:hAnsi="Arial"/>
          <w:b/>
          <w:bCs/>
          <w:color w:val="222222"/>
          <w:sz w:val="22"/>
          <w:szCs w:val="22"/>
        </w:rPr>
        <w:t xml:space="preserve">Correlation with vacancy decline: </w:t>
      </w:r>
      <w:r>
        <w:rPr>
          <w:rFonts w:ascii="Arial" w:cs="Arial" w:eastAsia="Arial" w:hAnsi="Arial"/>
          <w:sz w:val="22"/>
          <w:szCs w:val="22"/>
        </w:rPr>
        <w:t xml:space="preserve">Analysis of ONS vacancy data against BoE base rate shows a Pearson correlation of -0.71 at a six-month lag — meaning vacancy volume reliably fell 6 months after each rate rise.</w:t>
      </w:r>
    </w:p>
    <w:p>
      <w:pPr>
        <w:pStyle w:val="ListParagraph"/>
        <w:numPr>
          <w:ilvl w:val="0"/>
          <w:numId w:val="2"/>
        </w:numPr>
        <w:spacing w:after="80" w:before="40"/>
      </w:pPr>
      <w:r>
        <w:rPr>
          <w:rFonts w:ascii="Arial" w:cs="Arial" w:eastAsia="Arial" w:hAnsi="Arial"/>
          <w:b/>
          <w:bCs/>
          <w:color w:val="222222"/>
          <w:sz w:val="22"/>
          <w:szCs w:val="22"/>
        </w:rPr>
        <w:t xml:space="preserve">Business investment fell: </w:t>
      </w:r>
      <w:r>
        <w:rPr>
          <w:rFonts w:ascii="Arial" w:cs="Arial" w:eastAsia="Arial" w:hAnsi="Arial"/>
          <w:sz w:val="22"/>
          <w:szCs w:val="22"/>
        </w:rPr>
        <w:t xml:space="preserve">Higher borrowing costs made expansion, capex, and headcount growth economically unviable for many SMEs. Business investment fell 2.1% in 2023.</w:t>
      </w:r>
    </w:p>
    <w:p>
      <w:pPr>
        <w:pStyle w:val="ListParagraph"/>
        <w:numPr>
          <w:ilvl w:val="0"/>
          <w:numId w:val="2"/>
        </w:numPr>
        <w:spacing w:after="80" w:before="40"/>
      </w:pPr>
      <w:r>
        <w:rPr>
          <w:rFonts w:ascii="Arial" w:cs="Arial" w:eastAsia="Arial" w:hAnsi="Arial"/>
          <w:b/>
          <w:bCs/>
          <w:color w:val="222222"/>
          <w:sz w:val="22"/>
          <w:szCs w:val="22"/>
        </w:rPr>
        <w:t xml:space="preserve">Mortgage market impact: </w:t>
      </w:r>
      <w:r>
        <w:rPr>
          <w:rFonts w:ascii="Arial" w:cs="Arial" w:eastAsia="Arial" w:hAnsi="Arial"/>
          <w:sz w:val="22"/>
          <w:szCs w:val="22"/>
        </w:rPr>
        <w:t xml:space="preserve">Higher rates triggered a £500-1,000/month increase in mortgage costs for 1.5 million UK households coming off fixed-rate deals. This reduced discretionary spending and slowed retail/hospitality sectors.</w:t>
      </w:r>
    </w:p>
    <w:p>
      <w:pPr>
        <w:pStyle w:val="ListParagraph"/>
        <w:numPr>
          <w:ilvl w:val="0"/>
          <w:numId w:val="2"/>
        </w:numPr>
        <w:spacing w:after="80" w:before="40"/>
      </w:pPr>
      <w:r>
        <w:rPr>
          <w:rFonts w:ascii="Arial" w:cs="Arial" w:eastAsia="Arial" w:hAnsi="Arial"/>
          <w:b/>
          <w:bCs/>
          <w:color w:val="222222"/>
          <w:sz w:val="22"/>
          <w:szCs w:val="22"/>
        </w:rPr>
        <w:t xml:space="preserve">Tech sector contraction: </w:t>
      </w:r>
      <w:r>
        <w:rPr>
          <w:rFonts w:ascii="Arial" w:cs="Arial" w:eastAsia="Arial" w:hAnsi="Arial"/>
          <w:sz w:val="22"/>
          <w:szCs w:val="22"/>
        </w:rPr>
        <w:t xml:space="preserve">UK tech firms, many funded by cheap capital in 2020-2021, faced investor pressure to cut costs as rates rose. Layoffs at UK tech firms totalled an estimated 15,000-20,000 in 2023.</w:t>
      </w:r>
    </w:p>
    <w:p>
      <w:pPr>
        <w:pStyle w:val="ListParagraph"/>
        <w:numPr>
          <w:ilvl w:val="0"/>
          <w:numId w:val="2"/>
        </w:numPr>
        <w:spacing w:after="80" w:before="40"/>
      </w:pPr>
      <w:r>
        <w:rPr>
          <w:rFonts w:ascii="Arial" w:cs="Arial" w:eastAsia="Arial" w:hAnsi="Arial"/>
          <w:b/>
          <w:bCs/>
          <w:color w:val="222222"/>
          <w:sz w:val="22"/>
          <w:szCs w:val="22"/>
        </w:rPr>
        <w:t xml:space="preserve">Graduate hiring specifically: </w:t>
      </w:r>
      <w:r>
        <w:rPr>
          <w:rFonts w:ascii="Arial" w:cs="Arial" w:eastAsia="Arial" w:hAnsi="Arial"/>
          <w:sz w:val="22"/>
          <w:szCs w:val="22"/>
        </w:rPr>
        <w:t xml:space="preserve">Structured graduate programmes have high fixed costs (training, rotations, cohort management). They are the first to be paused when margins are squeezed.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none" w:color="FFFFFF" w:sz="0"/>
              <w:bottom w:val="none" w:color="FFFFFF" w:sz="0"/>
              <w:right w:val="none" w:color="FFFFFF" w:sz="0"/>
            </w:tcBorders>
            <w:shd w:fill="D6E4F7" w:val="clear"/>
            <w:tcMar>
              <w:top w:type="dxa" w:w="100"/>
              <w:left w:type="dxa" w:w="140"/>
              <w:bottom w:type="dxa" w:w="100"/>
              <w:right w:type="dxa" w:w="140"/>
            </w:tcMar>
          </w:tcPr>
          <w:p>
            <w:pPr>
              <w:spacing w:after="0" w:before="0"/>
              <w:jc w:val="both"/>
            </w:pPr>
            <w:r>
              <w:rPr>
                <w:rFonts w:ascii="Arial" w:cs="Arial" w:eastAsia="Arial" w:hAnsi="Arial"/>
                <w:color w:val="0D1B2A"/>
                <w:sz w:val="21"/>
                <w:szCs w:val="21"/>
              </w:rPr>
              <w:t xml:space="preserve">The rate-vacancy relationship is the clearest causal chain in the dataset. When money is expensive, companies do not grow headcount. When companies do not grow headcount, entry-level roles disappear first. The 2022-2023 rate cycle effectively wiped out two years of graduate hiring growth.</w:t>
            </w:r>
          </w:p>
        </w:tc>
      </w:tr>
    </w:tbl>
    <w:p>
      <w:pPr>
        <w:spacing w:after="100" w:before="100"/>
      </w:pPr>
      <w:r>
        <w:t xml:space="preserve"/>
      </w:r>
    </w:p>
    <w:p>
      <w:pPr>
        <w:pStyle w:val="Heading2"/>
        <w:spacing w:after="140" w:before="280"/>
      </w:pPr>
      <w:r>
        <w:rPr>
          <w:rFonts w:ascii="Arial" w:cs="Arial" w:eastAsia="Arial" w:hAnsi="Arial"/>
          <w:b/>
          <w:bCs/>
          <w:color w:val="1565C0"/>
          <w:sz w:val="28"/>
          <w:szCs w:val="28"/>
        </w:rPr>
        <w:t xml:space="preserve">3.5 Impact 5: The April 2025 Budget Shock — Employer NI Rise</w:t>
      </w:r>
    </w:p>
    <w:p>
      <w:pPr>
        <w:spacing w:after="120" w:before="60"/>
        <w:jc w:val="both"/>
      </w:pPr>
      <w:r>
        <w:rPr>
          <w:rFonts w:ascii="Arial" w:cs="Arial" w:eastAsia="Arial" w:hAnsi="Arial"/>
          <w:color w:val="222222"/>
          <w:sz w:val="22"/>
          <w:szCs w:val="22"/>
        </w:rPr>
        <w:t xml:space="preserve">The October 2024 Budget delivered by Chancellor Rachel Reeves introduced the largest single tax increase on employment in UK history, taking effect from April 2025:</w:t>
      </w:r>
    </w:p>
    <w:p>
      <w:pPr>
        <w:pStyle w:val="ListParagraph"/>
        <w:numPr>
          <w:ilvl w:val="0"/>
          <w:numId w:val="2"/>
        </w:numPr>
        <w:spacing w:after="80" w:before="40"/>
      </w:pPr>
      <w:r>
        <w:rPr>
          <w:rFonts w:ascii="Arial" w:cs="Arial" w:eastAsia="Arial" w:hAnsi="Arial"/>
          <w:b/>
          <w:bCs/>
          <w:color w:val="222222"/>
          <w:sz w:val="22"/>
          <w:szCs w:val="22"/>
        </w:rPr>
        <w:t xml:space="preserve">Rate increase: </w:t>
      </w:r>
      <w:r>
        <w:rPr>
          <w:rFonts w:ascii="Arial" w:cs="Arial" w:eastAsia="Arial" w:hAnsi="Arial"/>
          <w:sz w:val="22"/>
          <w:szCs w:val="22"/>
        </w:rPr>
        <w:t xml:space="preserve">Employer National Insurance Contributions rose from 13.8% to 15.0%.</w:t>
      </w:r>
    </w:p>
    <w:p>
      <w:pPr>
        <w:pStyle w:val="ListParagraph"/>
        <w:numPr>
          <w:ilvl w:val="0"/>
          <w:numId w:val="2"/>
        </w:numPr>
        <w:spacing w:after="80" w:before="40"/>
      </w:pPr>
      <w:r>
        <w:rPr>
          <w:rFonts w:ascii="Arial" w:cs="Arial" w:eastAsia="Arial" w:hAnsi="Arial"/>
          <w:b/>
          <w:bCs/>
          <w:color w:val="222222"/>
          <w:sz w:val="22"/>
          <w:szCs w:val="22"/>
        </w:rPr>
        <w:t xml:space="preserve">Threshold cut: </w:t>
      </w:r>
      <w:r>
        <w:rPr>
          <w:rFonts w:ascii="Arial" w:cs="Arial" w:eastAsia="Arial" w:hAnsi="Arial"/>
          <w:sz w:val="22"/>
          <w:szCs w:val="22"/>
        </w:rPr>
        <w:t xml:space="preserve">The earnings threshold at which NIC kicks in was cut from £9,100 to £5,000 per year — dramatically increasing costs for part-time and lower-paid workers.</w:t>
      </w:r>
    </w:p>
    <w:p>
      <w:pPr>
        <w:pStyle w:val="ListParagraph"/>
        <w:numPr>
          <w:ilvl w:val="0"/>
          <w:numId w:val="2"/>
        </w:numPr>
        <w:spacing w:after="80" w:before="40"/>
      </w:pPr>
      <w:r>
        <w:rPr>
          <w:rFonts w:ascii="Arial" w:cs="Arial" w:eastAsia="Arial" w:hAnsi="Arial"/>
          <w:b/>
          <w:bCs/>
          <w:color w:val="222222"/>
          <w:sz w:val="22"/>
          <w:szCs w:val="22"/>
        </w:rPr>
        <w:t xml:space="preserve">Total fiscal impact: </w:t>
      </w:r>
      <w:r>
        <w:rPr>
          <w:rFonts w:ascii="Arial" w:cs="Arial" w:eastAsia="Arial" w:hAnsi="Arial"/>
          <w:sz w:val="22"/>
          <w:szCs w:val="22"/>
        </w:rPr>
        <w:t xml:space="preserve">£25 billion per year in additional employer costs — the largest employer tax change in modern UK history.</w:t>
      </w:r>
    </w:p>
    <w:p>
      <w:pPr>
        <w:pStyle w:val="ListParagraph"/>
        <w:numPr>
          <w:ilvl w:val="0"/>
          <w:numId w:val="2"/>
        </w:numPr>
        <w:spacing w:after="80" w:before="40"/>
      </w:pPr>
      <w:r>
        <w:rPr>
          <w:rFonts w:ascii="Arial" w:cs="Arial" w:eastAsia="Arial" w:hAnsi="Arial"/>
          <w:b/>
          <w:bCs/>
          <w:color w:val="222222"/>
          <w:sz w:val="22"/>
          <w:szCs w:val="22"/>
        </w:rPr>
        <w:t xml:space="preserve">Immediate effect on payrolled employment: </w:t>
      </w:r>
      <w:r>
        <w:rPr>
          <w:rFonts w:ascii="Arial" w:cs="Arial" w:eastAsia="Arial" w:hAnsi="Arial"/>
          <w:sz w:val="22"/>
          <w:szCs w:val="22"/>
        </w:rPr>
        <w:t xml:space="preserve">Between October 2024 and April 2025, employee jobs fell by 167,000 in HMRC real-time information data — more than triple the OBR's expected impact.</w:t>
      </w:r>
    </w:p>
    <w:p>
      <w:pPr>
        <w:pStyle w:val="ListParagraph"/>
        <w:numPr>
          <w:ilvl w:val="0"/>
          <w:numId w:val="2"/>
        </w:numPr>
        <w:spacing w:after="80" w:before="40"/>
      </w:pPr>
      <w:r>
        <w:rPr>
          <w:rFonts w:ascii="Arial" w:cs="Arial" w:eastAsia="Arial" w:hAnsi="Arial"/>
          <w:b/>
          <w:bCs/>
          <w:color w:val="222222"/>
          <w:sz w:val="22"/>
          <w:szCs w:val="22"/>
        </w:rPr>
        <w:t xml:space="preserve">Summer job market collapse: </w:t>
      </w:r>
      <w:r>
        <w:rPr>
          <w:rFonts w:ascii="Arial" w:cs="Arial" w:eastAsia="Arial" w:hAnsi="Arial"/>
          <w:sz w:val="22"/>
          <w:szCs w:val="22"/>
        </w:rPr>
        <w:t xml:space="preserve">UK summer job vacancies fell 31% between May 2025 and May 2026, hitting young workers and graduates disproportionately.</w:t>
      </w:r>
    </w:p>
    <w:p>
      <w:pPr>
        <w:pStyle w:val="ListParagraph"/>
        <w:numPr>
          <w:ilvl w:val="0"/>
          <w:numId w:val="2"/>
        </w:numPr>
        <w:spacing w:after="80" w:before="40"/>
      </w:pPr>
      <w:r>
        <w:rPr>
          <w:rFonts w:ascii="Arial" w:cs="Arial" w:eastAsia="Arial" w:hAnsi="Arial"/>
          <w:b/>
          <w:bCs/>
          <w:color w:val="222222"/>
          <w:sz w:val="22"/>
          <w:szCs w:val="22"/>
        </w:rPr>
        <w:t xml:space="preserve">Sectoral impact: </w:t>
      </w:r>
      <w:r>
        <w:rPr>
          <w:rFonts w:ascii="Arial" w:cs="Arial" w:eastAsia="Arial" w:hAnsi="Arial"/>
          <w:sz w:val="22"/>
          <w:szCs w:val="22"/>
        </w:rPr>
        <w:t xml:space="preserve">Hospitality, social care, retail and manufacturing — where labour costs are 50-70% of total costs — cut hours, agency contracts, and paused permanent hiring.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none" w:color="FFFFFF" w:sz="0"/>
              <w:bottom w:val="none" w:color="FFFFFF" w:sz="0"/>
              <w:right w:val="none" w:color="FFFFFF" w:sz="0"/>
            </w:tcBorders>
            <w:shd w:fill="FDECEA"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POLICY IMPACT</w:t>
            </w:r>
          </w:p>
          <w:p>
            <w:pPr>
              <w:spacing w:after="0" w:before="0"/>
              <w:jc w:val="both"/>
            </w:pPr>
            <w:r>
              <w:rPr>
                <w:rFonts w:ascii="Arial" w:cs="Arial" w:eastAsia="Arial" w:hAnsi="Arial"/>
                <w:color w:val="0D1B2A"/>
                <w:sz w:val="21"/>
                <w:szCs w:val="21"/>
              </w:rPr>
              <w:t xml:space="preserve">The NI rise is the most direct policy explanation for the sharp hiring slowdown seen in 2025. It made every additional employee more expensive, pushed employers toward AI tools and automation, and disproportionately reduced entry-level and part-time roles — exactly the roles graduates and young workers need.</w:t>
            </w:r>
          </w:p>
        </w:tc>
      </w:tr>
    </w:tbl>
    <w:p>
      <w:pPr>
        <w:spacing w:after="100" w:before="100"/>
      </w:pPr>
      <w:r>
        <w:t xml:space="preserve"/>
      </w:r>
    </w:p>
    <w:p>
      <w:pPr>
        <w:pStyle w:val="Heading2"/>
        <w:spacing w:after="140" w:before="280"/>
      </w:pPr>
      <w:r>
        <w:rPr>
          <w:rFonts w:ascii="Arial" w:cs="Arial" w:eastAsia="Arial" w:hAnsi="Arial"/>
          <w:b/>
          <w:bCs/>
          <w:color w:val="1565C0"/>
          <w:sz w:val="28"/>
          <w:szCs w:val="28"/>
        </w:rPr>
        <w:t xml:space="preserve">3.6 Impact 6: The Economic Inactivity and Long COVID Crisis</w:t>
      </w:r>
    </w:p>
    <w:p>
      <w:pPr>
        <w:spacing w:after="120" w:before="60"/>
        <w:jc w:val="both"/>
      </w:pPr>
      <w:r>
        <w:rPr>
          <w:rFonts w:ascii="Arial" w:cs="Arial" w:eastAsia="Arial" w:hAnsi="Arial"/>
          <w:color w:val="222222"/>
          <w:sz w:val="22"/>
          <w:szCs w:val="22"/>
        </w:rPr>
        <w:t xml:space="preserve">One of the most distinctive and puzzling features of the post-pandemic UK labour market is the rise of economic inactivity — people who are neither employed nor looking for work. This is not captured in unemployment figures and is unique to the UK among G7 nations.</w:t>
      </w:r>
    </w:p>
    <w:p>
      <w:pPr>
        <w:pStyle w:val="ListParagraph"/>
        <w:numPr>
          <w:ilvl w:val="0"/>
          <w:numId w:val="2"/>
        </w:numPr>
        <w:spacing w:after="80" w:before="40"/>
      </w:pPr>
      <w:r>
        <w:rPr>
          <w:rFonts w:ascii="Arial" w:cs="Arial" w:eastAsia="Arial" w:hAnsi="Arial"/>
          <w:b/>
          <w:bCs/>
          <w:color w:val="222222"/>
          <w:sz w:val="22"/>
          <w:szCs w:val="22"/>
        </w:rPr>
        <w:t xml:space="preserve">Scale: </w:t>
      </w:r>
      <w:r>
        <w:rPr>
          <w:rFonts w:ascii="Arial" w:cs="Arial" w:eastAsia="Arial" w:hAnsi="Arial"/>
          <w:sz w:val="22"/>
          <w:szCs w:val="22"/>
        </w:rPr>
        <w:t xml:space="preserve">9.14 million people aged 16-64 were economically inactive in early 2026 — an inactivity rate of 21.0%, up from 20.5% before the pandemic.</w:t>
      </w:r>
    </w:p>
    <w:p>
      <w:pPr>
        <w:pStyle w:val="ListParagraph"/>
        <w:numPr>
          <w:ilvl w:val="0"/>
          <w:numId w:val="2"/>
        </w:numPr>
        <w:spacing w:after="80" w:before="40"/>
      </w:pPr>
      <w:r>
        <w:rPr>
          <w:rFonts w:ascii="Arial" w:cs="Arial" w:eastAsia="Arial" w:hAnsi="Arial"/>
          <w:b/>
          <w:bCs/>
          <w:color w:val="222222"/>
          <w:sz w:val="22"/>
          <w:szCs w:val="22"/>
        </w:rPr>
        <w:t xml:space="preserve">Long-term sickness: </w:t>
      </w:r>
      <w:r>
        <w:rPr>
          <w:rFonts w:ascii="Arial" w:cs="Arial" w:eastAsia="Arial" w:hAnsi="Arial"/>
          <w:sz w:val="22"/>
          <w:szCs w:val="22"/>
        </w:rPr>
        <w:t xml:space="preserve">2.8 million people were economically inactive due to long-term sickness as of December 2023-February 2024 — a record high. This rose from 2.0 million in 2019.</w:t>
      </w:r>
    </w:p>
    <w:p>
      <w:pPr>
        <w:pStyle w:val="ListParagraph"/>
        <w:numPr>
          <w:ilvl w:val="0"/>
          <w:numId w:val="2"/>
        </w:numPr>
        <w:spacing w:after="80" w:before="40"/>
      </w:pPr>
      <w:r>
        <w:rPr>
          <w:rFonts w:ascii="Arial" w:cs="Arial" w:eastAsia="Arial" w:hAnsi="Arial"/>
          <w:b/>
          <w:bCs/>
          <w:color w:val="222222"/>
          <w:sz w:val="22"/>
          <w:szCs w:val="22"/>
        </w:rPr>
        <w:t xml:space="preserve">Long COVID impact: </w:t>
      </w:r>
      <w:r>
        <w:rPr>
          <w:rFonts w:ascii="Arial" w:cs="Arial" w:eastAsia="Arial" w:hAnsi="Arial"/>
          <w:sz w:val="22"/>
          <w:szCs w:val="22"/>
        </w:rPr>
        <w:t xml:space="preserve">2 million people in the UK reported experiencing Long COVID symptoms (ONS, January 2023). One study estimated nearly half of UK firms had employees with Long COVID in 2022. Long COVID forced an estimated 40,000-72,000 people out of work.</w:t>
      </w:r>
    </w:p>
    <w:p>
      <w:pPr>
        <w:pStyle w:val="ListParagraph"/>
        <w:numPr>
          <w:ilvl w:val="0"/>
          <w:numId w:val="2"/>
        </w:numPr>
        <w:spacing w:after="80" w:before="40"/>
      </w:pPr>
      <w:r>
        <w:rPr>
          <w:rFonts w:ascii="Arial" w:cs="Arial" w:eastAsia="Arial" w:hAnsi="Arial"/>
          <w:b/>
          <w:bCs/>
          <w:color w:val="222222"/>
          <w:sz w:val="22"/>
          <w:szCs w:val="22"/>
        </w:rPr>
        <w:t xml:space="preserve">Mental health crisis: </w:t>
      </w:r>
      <w:r>
        <w:rPr>
          <w:rFonts w:ascii="Arial" w:cs="Arial" w:eastAsia="Arial" w:hAnsi="Arial"/>
          <w:sz w:val="22"/>
          <w:szCs w:val="22"/>
        </w:rPr>
        <w:t xml:space="preserve">Over 1.35 million (53%) of those inactive due to long-term sickness reported depression, bad nerves or anxiety (ONS, Q1 2023). Mental health challenges cost the UK economy an estimated £118 billion per year.</w:t>
      </w:r>
    </w:p>
    <w:p>
      <w:pPr>
        <w:pStyle w:val="ListParagraph"/>
        <w:numPr>
          <w:ilvl w:val="0"/>
          <w:numId w:val="2"/>
        </w:numPr>
        <w:spacing w:after="80" w:before="40"/>
      </w:pPr>
      <w:r>
        <w:rPr>
          <w:rFonts w:ascii="Arial" w:cs="Arial" w:eastAsia="Arial" w:hAnsi="Arial"/>
          <w:b/>
          <w:bCs/>
          <w:color w:val="222222"/>
          <w:sz w:val="22"/>
          <w:szCs w:val="22"/>
        </w:rPr>
        <w:t xml:space="preserve">Young inactivity: </w:t>
      </w:r>
      <w:r>
        <w:rPr>
          <w:rFonts w:ascii="Arial" w:cs="Arial" w:eastAsia="Arial" w:hAnsi="Arial"/>
          <w:sz w:val="22"/>
          <w:szCs w:val="22"/>
        </w:rPr>
        <w:t xml:space="preserve">Economic inactivity among young people (16-24) has risen, with the ONS noting concerns about the health of younger workers — particularly mental health conditions driving people out of education and the labour market.</w:t>
      </w:r>
    </w:p>
    <w:p>
      <w:pPr>
        <w:pStyle w:val="ListParagraph"/>
        <w:numPr>
          <w:ilvl w:val="0"/>
          <w:numId w:val="2"/>
        </w:numPr>
        <w:spacing w:after="80" w:before="40"/>
      </w:pPr>
      <w:r>
        <w:rPr>
          <w:rFonts w:ascii="Arial" w:cs="Arial" w:eastAsia="Arial" w:hAnsi="Arial"/>
          <w:b/>
          <w:bCs/>
          <w:color w:val="222222"/>
          <w:sz w:val="22"/>
          <w:szCs w:val="22"/>
        </w:rPr>
        <w:t xml:space="preserve">Labour supply reduction: </w:t>
      </w:r>
      <w:r>
        <w:rPr>
          <w:rFonts w:ascii="Arial" w:cs="Arial" w:eastAsia="Arial" w:hAnsi="Arial"/>
          <w:sz w:val="22"/>
          <w:szCs w:val="22"/>
        </w:rPr>
        <w:t xml:space="preserve">The effective withdrawal of 800,000+ additional workers from the labour market (relative to pre-pandemic trend) creates a paradox: labour appears tight, but not in graduate-relevant sectors, creating false signals.</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3.7 Impact 7: The NEET Crisis and Youth Unemployment</w:t>
      </w:r>
    </w:p>
    <w:p>
      <w:pPr>
        <w:spacing w:after="120" w:before="60"/>
        <w:jc w:val="both"/>
      </w:pPr>
      <w:r>
        <w:rPr>
          <w:rFonts w:ascii="Arial" w:cs="Arial" w:eastAsia="Arial" w:hAnsi="Arial"/>
          <w:color w:val="222222"/>
          <w:sz w:val="22"/>
          <w:szCs w:val="22"/>
        </w:rPr>
        <w:t xml:space="preserve">The number of young people Not in Education, Employment or Training (NEET) crossed 1 million in Q1 2026 for the first time since 2013. This represents a structural failure with long-term economic consequences.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Indicator</w:t>
            </w:r>
          </w:p>
        </w:tc>
        <w:tc>
          <w:tcPr>
            <w:tcW w:type="dxa" w:w="39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Value / Data Point</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NEET (16-24), Q1 2026</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1.01 million — 13.5% of age group</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NEET rate vs EU average (2025)</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UK 12.8% vs EU average 9%</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NEET breakdown: economically inactive</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57% (580,000 people)</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NEET breakdown: unemployed</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43% (366,000 people + 89,000 seeking work)</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UK vs comparators</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Only Romania recorded higher NEET rate in EU</w:t>
            </w:r>
          </w:p>
        </w:tc>
      </w:tr>
      <w:tr>
        <w:tc>
          <w:tcPr>
            <w:tcW w:type="dxa" w:w="5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333333"/>
                <w:sz w:val="20"/>
                <w:szCs w:val="20"/>
              </w:rPr>
              <w:t xml:space="preserve">Government response</w:t>
            </w:r>
          </w:p>
        </w:tc>
        <w:tc>
          <w:tcPr>
            <w:tcW w:type="dxa" w:w="3960"/>
            <w:tcBorders>
              <w:top w:val="single" w:color="DDDDDD" w:sz="1"/>
              <w:left w:val="single" w:color="DDDDDD" w:sz="1"/>
              <w:bottom w:val="single" w:color="DDDDDD" w:sz="1"/>
              <w:right w:val="single" w:color="DDDDDD" w:sz="1"/>
            </w:tcBorders>
            <w:shd w:fill="D6E4F7" w:val="clear"/>
            <w:tcMar>
              <w:top w:type="dxa" w:w="70"/>
              <w:left w:type="dxa" w:w="120"/>
              <w:bottom w:type="dxa" w:w="70"/>
              <w:right w:type="dxa" w:w="120"/>
            </w:tcMar>
          </w:tcPr>
          <w:p>
            <w:pPr>
              <w:spacing w:after="0" w:before="0"/>
            </w:pPr>
            <w:r>
              <w:rPr>
                <w:rFonts w:ascii="Arial" w:cs="Arial" w:eastAsia="Arial" w:hAnsi="Arial"/>
                <w:b/>
                <w:bCs/>
                <w:color w:val="0D1B2A"/>
                <w:sz w:val="22"/>
                <w:szCs w:val="22"/>
              </w:rPr>
              <w:t xml:space="preserve">£820m Youth Guarantee (Autumn Budget 2025)</w:t>
            </w:r>
          </w:p>
        </w:tc>
      </w:tr>
    </w:tbl>
    <w:p>
      <w:pPr>
        <w:spacing w:after="100" w:before="100"/>
      </w:pPr>
      <w:r>
        <w:t xml:space="preserve"/>
      </w:r>
    </w:p>
    <w:p>
      <w:pPr>
        <w:pStyle w:val="ListParagraph"/>
        <w:numPr>
          <w:ilvl w:val="0"/>
          <w:numId w:val="2"/>
        </w:numPr>
        <w:spacing w:after="80" w:before="40"/>
      </w:pPr>
      <w:r>
        <w:rPr>
          <w:rFonts w:ascii="Arial" w:cs="Arial" w:eastAsia="Arial" w:hAnsi="Arial"/>
          <w:b/>
          <w:bCs/>
          <w:color w:val="222222"/>
          <w:sz w:val="22"/>
          <w:szCs w:val="22"/>
        </w:rPr>
        <w:t xml:space="preserve">Post-pandemic educational disruption: </w:t>
      </w:r>
      <w:r>
        <w:rPr>
          <w:rFonts w:ascii="Arial" w:cs="Arial" w:eastAsia="Arial" w:hAnsi="Arial"/>
          <w:sz w:val="22"/>
          <w:szCs w:val="22"/>
        </w:rPr>
        <w:t xml:space="preserve">Two years of disrupted schooling (2020-2022) reduced qualifications attainment for the 2022-2024 school leaver cohort, weakening their labour market position.</w:t>
      </w:r>
    </w:p>
    <w:p>
      <w:pPr>
        <w:pStyle w:val="ListParagraph"/>
        <w:numPr>
          <w:ilvl w:val="0"/>
          <w:numId w:val="2"/>
        </w:numPr>
        <w:spacing w:after="80" w:before="40"/>
      </w:pPr>
      <w:r>
        <w:rPr>
          <w:rFonts w:ascii="Arial" w:cs="Arial" w:eastAsia="Arial" w:hAnsi="Arial"/>
          <w:b/>
          <w:bCs/>
          <w:color w:val="222222"/>
          <w:sz w:val="22"/>
          <w:szCs w:val="22"/>
        </w:rPr>
        <w:t xml:space="preserve">Rising inactivity among young: </w:t>
      </w:r>
      <w:r>
        <w:rPr>
          <w:rFonts w:ascii="Arial" w:cs="Arial" w:eastAsia="Arial" w:hAnsi="Arial"/>
          <w:sz w:val="22"/>
          <w:szCs w:val="22"/>
        </w:rPr>
        <w:t xml:space="preserve">More young people are inactive (sick, caring, discouraged) than unemployed — a reversal of historical patterns that suggests deepening structural problems beyond cyclical unemployment.</w:t>
      </w:r>
    </w:p>
    <w:p>
      <w:pPr>
        <w:pStyle w:val="ListParagraph"/>
        <w:numPr>
          <w:ilvl w:val="0"/>
          <w:numId w:val="2"/>
        </w:numPr>
        <w:spacing w:after="80" w:before="40"/>
      </w:pPr>
      <w:r>
        <w:rPr>
          <w:rFonts w:ascii="Arial" w:cs="Arial" w:eastAsia="Arial" w:hAnsi="Arial"/>
          <w:b/>
          <w:bCs/>
          <w:color w:val="222222"/>
          <w:sz w:val="22"/>
          <w:szCs w:val="22"/>
        </w:rPr>
        <w:t xml:space="preserve">Competition with graduates: </w:t>
      </w:r>
      <w:r>
        <w:rPr>
          <w:rFonts w:ascii="Arial" w:cs="Arial" w:eastAsia="Arial" w:hAnsi="Arial"/>
          <w:sz w:val="22"/>
          <w:szCs w:val="22"/>
        </w:rPr>
        <w:t xml:space="preserve">Young people without degrees compete with increasingly large and desperate graduate cohorts for a shrinking pool of entry-level non-graduate roles.</w:t>
      </w:r>
    </w:p>
    <w:p>
      <w:r>
        <w:br w:type="page"/>
      </w:r>
    </w:p>
    <w:p>
      <w:pPr>
        <w:pStyle w:val="Heading2"/>
        <w:spacing w:after="140" w:before="280"/>
      </w:pPr>
      <w:r>
        <w:rPr>
          <w:rFonts w:ascii="Arial" w:cs="Arial" w:eastAsia="Arial" w:hAnsi="Arial"/>
          <w:b/>
          <w:bCs/>
          <w:color w:val="1565C0"/>
          <w:sz w:val="28"/>
          <w:szCs w:val="28"/>
        </w:rPr>
        <w:t xml:space="preserve">3.8 Impact 8: Graduate Market Specific Data</w:t>
      </w:r>
    </w:p>
    <w:p>
      <w:pPr>
        <w:spacing w:after="120" w:before="60"/>
        <w:jc w:val="both"/>
      </w:pPr>
      <w:r>
        <w:rPr>
          <w:rFonts w:ascii="Arial" w:cs="Arial" w:eastAsia="Arial" w:hAnsi="Arial"/>
          <w:color w:val="222222"/>
          <w:sz w:val="22"/>
          <w:szCs w:val="22"/>
        </w:rPr>
        <w:t xml:space="preserve">The graduate labour market has experienced a distinct and severe deterioration that is not reflected in headline unemployment figures.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60"/>
        <w:gridCol w:w="2000"/>
      </w:tblGrid>
      <w:tr>
        <w:tc>
          <w:tcPr>
            <w:tcW w:type="dxa" w:w="22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Metric</w:t>
            </w:r>
          </w:p>
        </w:tc>
        <w:tc>
          <w:tcPr>
            <w:tcW w:type="dxa" w:w="16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2019 (Pre-Pandemic)</w:t>
            </w:r>
          </w:p>
        </w:tc>
        <w:tc>
          <w:tcPr>
            <w:tcW w:type="dxa" w:w="16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2022 (Peak)</w:t>
            </w:r>
          </w:p>
        </w:tc>
        <w:tc>
          <w:tcPr>
            <w:tcW w:type="dxa" w:w="19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2024-25 (Current)</w:t>
            </w:r>
          </w:p>
        </w:tc>
        <w:tc>
          <w:tcPr>
            <w:tcW w:type="dxa" w:w="20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Trend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Graduate vacancies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Baseline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+~15%</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Lowest since 2012</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Declining</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Applications per vacancy (median)</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38</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65</w:t>
            </w:r>
          </w:p>
        </w:tc>
        <w:tc>
          <w:tcPr>
            <w:tcW w:type="dxa" w:w="19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140</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Worsening fast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Applications per vacancy (mean)</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~78</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89 (+13% YoY)</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Worsening</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Graduate hires (yr-on-yr)</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Baseline</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+12%</w:t>
            </w:r>
          </w:p>
        </w:tc>
        <w:tc>
          <w:tcPr>
            <w:tcW w:type="dxa" w:w="19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-8% (2024/25)</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Declining</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Median applications per person</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~50</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~120</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200-500</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Acute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Time to offer (weeks avg)</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~14 wks</w:t>
            </w:r>
          </w:p>
        </w:tc>
        <w:tc>
          <w:tcPr>
            <w:tcW w:type="dxa" w:w="1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~11 wks</w:t>
            </w:r>
          </w:p>
        </w:tc>
        <w:tc>
          <w:tcPr>
            <w:tcW w:type="dxa" w:w="19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35 weeks (HESA)</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Lengthening</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 in grad-level job (6 months)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~58%</w:t>
            </w:r>
          </w:p>
        </w:tc>
        <w:tc>
          <w:tcPr>
            <w:tcW w:type="dxa" w:w="1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53.2%</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Declining</w:t>
            </w:r>
          </w:p>
        </w:tc>
      </w:tr>
    </w:tbl>
    <w:p>
      <w:pPr>
        <w:spacing w:after="100" w:before="100"/>
      </w:pPr>
      <w:r>
        <w:t xml:space="preserve"/>
      </w:r>
    </w:p>
    <w:p>
      <w:pPr>
        <w:pStyle w:val="Heading1"/>
        <w:spacing w:after="200" w:before="360"/>
      </w:pPr>
      <w:r>
        <w:rPr>
          <w:rFonts w:ascii="Arial" w:cs="Arial" w:eastAsia="Arial" w:hAnsi="Arial"/>
          <w:b/>
          <w:bCs/>
          <w:color w:val="0D1B2A"/>
          <w:sz w:val="36"/>
          <w:szCs w:val="36"/>
        </w:rPr>
        <w:t xml:space="preserve">4. Factors Driving the Impacts</w:t>
      </w:r>
    </w:p>
    <w:p>
      <w:pPr>
        <w:pBdr>
          <w:bottom w:val="single" w:color="1565C0" w:sz="6" w:space="1"/>
        </w:pBdr>
        <w:spacing w:after="120" w:before="120"/>
      </w:pPr>
      <w:r>
        <w:t xml:space="preserve"/>
      </w:r>
    </w:p>
    <w:p>
      <w:pPr>
        <w:spacing w:after="120" w:before="60"/>
        <w:jc w:val="both"/>
      </w:pPr>
      <w:r>
        <w:rPr>
          <w:rFonts w:ascii="Arial" w:cs="Arial" w:eastAsia="Arial" w:hAnsi="Arial"/>
          <w:color w:val="222222"/>
          <w:sz w:val="22"/>
          <w:szCs w:val="22"/>
        </w:rPr>
        <w:t xml:space="preserve">The impacts described in Section 3 do not arise from a single cause. This section identifies the ten structural factors that, in combination, explain the paradox of a UK job market that appears healthy on the surface but is failing graduates and young workers at its foundation.</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4.1 Factor 1: The Skills Mismatch — The Employability Gap</w:t>
      </w:r>
    </w:p>
    <w:p>
      <w:pPr>
        <w:spacing w:after="120" w:before="60"/>
        <w:jc w:val="both"/>
      </w:pPr>
      <w:r>
        <w:rPr>
          <w:rFonts w:ascii="Arial" w:cs="Arial" w:eastAsia="Arial" w:hAnsi="Arial"/>
          <w:color w:val="222222"/>
          <w:sz w:val="22"/>
          <w:szCs w:val="22"/>
        </w:rPr>
        <w:t xml:space="preserve">The most frequently cited explanation from employers is that graduates do not have the skills they need. The data supports this but reveals a more nuanced picture than simple blame on universities.</w:t>
      </w:r>
    </w:p>
    <w:p>
      <w:pPr>
        <w:pStyle w:val="ListParagraph"/>
        <w:numPr>
          <w:ilvl w:val="0"/>
          <w:numId w:val="2"/>
        </w:numPr>
        <w:spacing w:after="80" w:before="40"/>
      </w:pPr>
      <w:r>
        <w:rPr>
          <w:rFonts w:ascii="Arial" w:cs="Arial" w:eastAsia="Arial" w:hAnsi="Arial"/>
          <w:b/>
          <w:bCs/>
          <w:color w:val="222222"/>
          <w:sz w:val="22"/>
          <w:szCs w:val="22"/>
        </w:rPr>
        <w:t xml:space="preserve">Employer skills complaints: </w:t>
      </w:r>
      <w:r>
        <w:rPr>
          <w:rFonts w:ascii="Arial" w:cs="Arial" w:eastAsia="Arial" w:hAnsi="Arial"/>
          <w:sz w:val="22"/>
          <w:szCs w:val="22"/>
        </w:rPr>
        <w:t xml:space="preserve">A Hult International Business School survey found 98% of employers said they struggled to fill vacancies, but 89% admitted they did not want to hire graduates. 58% said employer expectations and young people's skills are misaligned, citing both technical skills (55%) and soft skills (54%).</w:t>
      </w:r>
    </w:p>
    <w:p>
      <w:pPr>
        <w:pStyle w:val="ListParagraph"/>
        <w:numPr>
          <w:ilvl w:val="0"/>
          <w:numId w:val="2"/>
        </w:numPr>
        <w:spacing w:after="80" w:before="40"/>
      </w:pPr>
      <w:r>
        <w:rPr>
          <w:rFonts w:ascii="Arial" w:cs="Arial" w:eastAsia="Arial" w:hAnsi="Arial"/>
          <w:b/>
          <w:bCs/>
          <w:color w:val="222222"/>
          <w:sz w:val="22"/>
          <w:szCs w:val="22"/>
        </w:rPr>
        <w:t xml:space="preserve">Technical skill demands in 2025: </w:t>
      </w:r>
      <w:r>
        <w:rPr>
          <w:rFonts w:ascii="Arial" w:cs="Arial" w:eastAsia="Arial" w:hAnsi="Arial"/>
          <w:sz w:val="22"/>
          <w:szCs w:val="22"/>
        </w:rPr>
        <w:t xml:space="preserve">Analysis of 600 graduate analyst postings shows SQL demanded in 74.4% of roles, Excel in 82.1%, Python in 62.8%, Power BI in 54.7%, and Tableau in 41.3% of postings. These are rarely taught as core modules in non-specialist degrees.</w:t>
      </w:r>
    </w:p>
    <w:p>
      <w:pPr>
        <w:pStyle w:val="ListParagraph"/>
        <w:numPr>
          <w:ilvl w:val="0"/>
          <w:numId w:val="2"/>
        </w:numPr>
        <w:spacing w:after="80" w:before="40"/>
      </w:pPr>
      <w:r>
        <w:rPr>
          <w:rFonts w:ascii="Arial" w:cs="Arial" w:eastAsia="Arial" w:hAnsi="Arial"/>
          <w:b/>
          <w:bCs/>
          <w:color w:val="222222"/>
          <w:sz w:val="22"/>
          <w:szCs w:val="22"/>
        </w:rPr>
        <w:t xml:space="preserve">Digital skills deficit at scale: </w:t>
      </w:r>
      <w:r>
        <w:rPr>
          <w:rFonts w:ascii="Arial" w:cs="Arial" w:eastAsia="Arial" w:hAnsi="Arial"/>
          <w:sz w:val="22"/>
          <w:szCs w:val="22"/>
        </w:rPr>
        <w:t xml:space="preserve">Government assessment (2025) found millions of workers lack basic digital and AI literacy, warning that without urgent reskilling, up to 7 million British workers could be underqualified by 2035.</w:t>
      </w:r>
    </w:p>
    <w:p>
      <w:pPr>
        <w:pStyle w:val="ListParagraph"/>
        <w:numPr>
          <w:ilvl w:val="0"/>
          <w:numId w:val="2"/>
        </w:numPr>
        <w:spacing w:after="80" w:before="40"/>
      </w:pPr>
      <w:r>
        <w:rPr>
          <w:rFonts w:ascii="Arial" w:cs="Arial" w:eastAsia="Arial" w:hAnsi="Arial"/>
          <w:b/>
          <w:bCs/>
          <w:color w:val="222222"/>
          <w:sz w:val="22"/>
          <w:szCs w:val="22"/>
        </w:rPr>
        <w:t xml:space="preserve">What employers actually prioritise: </w:t>
      </w:r>
      <w:r>
        <w:rPr>
          <w:rFonts w:ascii="Arial" w:cs="Arial" w:eastAsia="Arial" w:hAnsi="Arial"/>
          <w:sz w:val="22"/>
          <w:szCs w:val="22"/>
        </w:rPr>
        <w:t xml:space="preserve">The most demanded skill across postings was Communication (89.9%), followed by Excel (82.1%) and SQL (74.4%). Graduates frequently underestimate the premium placed on written and verbal communication.</w:t>
      </w:r>
    </w:p>
    <w:p>
      <w:pPr>
        <w:pStyle w:val="ListParagraph"/>
        <w:numPr>
          <w:ilvl w:val="0"/>
          <w:numId w:val="2"/>
        </w:numPr>
        <w:spacing w:after="80" w:before="40"/>
      </w:pPr>
      <w:r>
        <w:rPr>
          <w:rFonts w:ascii="Arial" w:cs="Arial" w:eastAsia="Arial" w:hAnsi="Arial"/>
          <w:b/>
          <w:bCs/>
          <w:color w:val="222222"/>
          <w:sz w:val="22"/>
          <w:szCs w:val="22"/>
        </w:rPr>
        <w:t xml:space="preserve">University curriculum lag: </w:t>
      </w:r>
      <w:r>
        <w:rPr>
          <w:rFonts w:ascii="Arial" w:cs="Arial" w:eastAsia="Arial" w:hAnsi="Arial"/>
          <w:sz w:val="22"/>
          <w:szCs w:val="22"/>
        </w:rPr>
        <w:t xml:space="preserve">Business and Management degree curricula are typically revised every 3-5 years. This structural lag means graduates learn the tools of 2020 to enter the market of 2026.</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4.2 Factor 2: The Experience Paradox</w:t>
      </w:r>
    </w:p>
    <w:p>
      <w:pPr>
        <w:spacing w:after="120" w:before="60"/>
        <w:jc w:val="both"/>
      </w:pPr>
      <w:r>
        <w:rPr>
          <w:rFonts w:ascii="Arial" w:cs="Arial" w:eastAsia="Arial" w:hAnsi="Arial"/>
          <w:color w:val="222222"/>
          <w:sz w:val="22"/>
          <w:szCs w:val="22"/>
        </w:rPr>
        <w:t xml:space="preserve">Perhaps the most perverse structural barrier in the graduate market is the requirement for prior experience in roles explicitly advertised for people without prior experience.</w:t>
      </w:r>
    </w:p>
    <w:p>
      <w:pPr>
        <w:pStyle w:val="ListParagraph"/>
        <w:numPr>
          <w:ilvl w:val="0"/>
          <w:numId w:val="2"/>
        </w:numPr>
        <w:spacing w:after="80" w:before="40"/>
      </w:pPr>
      <w:r>
        <w:rPr>
          <w:rFonts w:ascii="Arial" w:cs="Arial" w:eastAsia="Arial" w:hAnsi="Arial"/>
          <w:b/>
          <w:bCs/>
          <w:color w:val="222222"/>
          <w:sz w:val="22"/>
          <w:szCs w:val="22"/>
        </w:rPr>
        <w:t xml:space="preserve">Scale: </w:t>
      </w:r>
      <w:r>
        <w:rPr>
          <w:rFonts w:ascii="Arial" w:cs="Arial" w:eastAsia="Arial" w:hAnsi="Arial"/>
          <w:sz w:val="22"/>
          <w:szCs w:val="22"/>
        </w:rPr>
        <w:t xml:space="preserve">62.8% of roles labelled 'entry level', 'graduate' or 'junior' in the sample of 600 postings required a minimum of 1 year's prior relevant experience.</w:t>
      </w:r>
    </w:p>
    <w:p>
      <w:pPr>
        <w:pStyle w:val="ListParagraph"/>
        <w:numPr>
          <w:ilvl w:val="0"/>
          <w:numId w:val="2"/>
        </w:numPr>
        <w:spacing w:after="80" w:before="40"/>
      </w:pPr>
      <w:r>
        <w:rPr>
          <w:rFonts w:ascii="Arial" w:cs="Arial" w:eastAsia="Arial" w:hAnsi="Arial"/>
          <w:b/>
          <w:bCs/>
          <w:color w:val="222222"/>
          <w:sz w:val="22"/>
          <w:szCs w:val="22"/>
        </w:rPr>
        <w:t xml:space="preserve">Mechanism: </w:t>
      </w:r>
      <w:r>
        <w:rPr>
          <w:rFonts w:ascii="Arial" w:cs="Arial" w:eastAsia="Arial" w:hAnsi="Arial"/>
          <w:sz w:val="22"/>
          <w:szCs w:val="22"/>
        </w:rPr>
        <w:t xml:space="preserve">Employers use experience requirements as a proxy for risk reduction. In a market flooded with applications, 'minimum 1 year experience' functions as a filter that is cheap to apply and hard to challenge.</w:t>
      </w:r>
    </w:p>
    <w:p>
      <w:pPr>
        <w:pStyle w:val="ListParagraph"/>
        <w:numPr>
          <w:ilvl w:val="0"/>
          <w:numId w:val="2"/>
        </w:numPr>
        <w:spacing w:after="80" w:before="40"/>
      </w:pPr>
      <w:r>
        <w:rPr>
          <w:rFonts w:ascii="Arial" w:cs="Arial" w:eastAsia="Arial" w:hAnsi="Arial"/>
          <w:b/>
          <w:bCs/>
          <w:color w:val="222222"/>
          <w:sz w:val="22"/>
          <w:szCs w:val="22"/>
        </w:rPr>
        <w:t xml:space="preserve">The internship bottleneck: </w:t>
      </w:r>
      <w:r>
        <w:rPr>
          <w:rFonts w:ascii="Arial" w:cs="Arial" w:eastAsia="Arial" w:hAnsi="Arial"/>
          <w:sz w:val="22"/>
          <w:szCs w:val="22"/>
        </w:rPr>
        <w:t xml:space="preserve">Experience is increasingly acquired through internships — but 60% of UK internships are unpaid or below minimum wage, which concentrates access among students from higher-income families at Russell Group universities.</w:t>
      </w:r>
    </w:p>
    <w:p>
      <w:pPr>
        <w:pStyle w:val="ListParagraph"/>
        <w:numPr>
          <w:ilvl w:val="0"/>
          <w:numId w:val="2"/>
        </w:numPr>
        <w:spacing w:after="80" w:before="40"/>
      </w:pPr>
      <w:r>
        <w:rPr>
          <w:rFonts w:ascii="Arial" w:cs="Arial" w:eastAsia="Arial" w:hAnsi="Arial"/>
          <w:b/>
          <w:bCs/>
          <w:color w:val="222222"/>
          <w:sz w:val="22"/>
          <w:szCs w:val="22"/>
        </w:rPr>
        <w:t xml:space="preserve">First-generation graduates most affected: </w:t>
      </w:r>
      <w:r>
        <w:rPr>
          <w:rFonts w:ascii="Arial" w:cs="Arial" w:eastAsia="Arial" w:hAnsi="Arial"/>
          <w:sz w:val="22"/>
          <w:szCs w:val="22"/>
        </w:rPr>
        <w:t xml:space="preserve">Students who are the first in their family to attend university have statistically lower rates of internship acquisition and lower rates of graduate employment — a compounding disadvantage.</w:t>
      </w:r>
    </w:p>
    <w:p>
      <w:pPr>
        <w:pStyle w:val="ListParagraph"/>
        <w:numPr>
          <w:ilvl w:val="0"/>
          <w:numId w:val="2"/>
        </w:numPr>
        <w:spacing w:after="80" w:before="40"/>
      </w:pPr>
      <w:r>
        <w:rPr>
          <w:rFonts w:ascii="Arial" w:cs="Arial" w:eastAsia="Arial" w:hAnsi="Arial"/>
          <w:b/>
          <w:bCs/>
          <w:color w:val="222222"/>
          <w:sz w:val="22"/>
          <w:szCs w:val="22"/>
        </w:rPr>
        <w:t xml:space="preserve">Employer behaviour vs stated intention: </w:t>
      </w:r>
      <w:r>
        <w:rPr>
          <w:rFonts w:ascii="Arial" w:cs="Arial" w:eastAsia="Arial" w:hAnsi="Arial"/>
          <w:sz w:val="22"/>
          <w:szCs w:val="22"/>
        </w:rPr>
        <w:t xml:space="preserve">81% of employers in ISE surveys say they value 'potential' over experience. Yet their actual job postings contradict this — suggesting a gap between HR policy and hiring manager behaviour.</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4.3 Factor 3: AI, Automation and Recruitment Technology</w:t>
      </w:r>
    </w:p>
    <w:p>
      <w:pPr>
        <w:spacing w:after="120" w:before="60"/>
        <w:jc w:val="both"/>
      </w:pPr>
      <w:r>
        <w:rPr>
          <w:rFonts w:ascii="Arial" w:cs="Arial" w:eastAsia="Arial" w:hAnsi="Arial"/>
          <w:color w:val="222222"/>
          <w:sz w:val="22"/>
          <w:szCs w:val="22"/>
        </w:rPr>
        <w:t xml:space="preserve">Artificial intelligence is now embedded in UK recruitment at both ends: AI screens candidates in, and AI is beginning to perform the work that candidates were being hired to do.</w:t>
      </w:r>
    </w:p>
    <w:p>
      <w:pPr>
        <w:pStyle w:val="ListParagraph"/>
        <w:numPr>
          <w:ilvl w:val="0"/>
          <w:numId w:val="2"/>
        </w:numPr>
        <w:spacing w:after="80" w:before="40"/>
      </w:pPr>
      <w:r>
        <w:rPr>
          <w:rFonts w:ascii="Arial" w:cs="Arial" w:eastAsia="Arial" w:hAnsi="Arial"/>
          <w:b/>
          <w:bCs/>
          <w:color w:val="222222"/>
          <w:sz w:val="22"/>
          <w:szCs w:val="22"/>
        </w:rPr>
        <w:t xml:space="preserve">AI in recruitment: </w:t>
      </w:r>
      <w:r>
        <w:rPr>
          <w:rFonts w:ascii="Arial" w:cs="Arial" w:eastAsia="Arial" w:hAnsi="Arial"/>
          <w:sz w:val="22"/>
          <w:szCs w:val="22"/>
        </w:rPr>
        <w:t xml:space="preserve">90% of large UK private-sector businesses have adopted AI in their recruitment processes (2025). ATS systems, AI CV screeners, and automated video interview tools now determine whether a human ever reads an application.</w:t>
      </w:r>
    </w:p>
    <w:p>
      <w:pPr>
        <w:pStyle w:val="ListParagraph"/>
        <w:numPr>
          <w:ilvl w:val="0"/>
          <w:numId w:val="2"/>
        </w:numPr>
        <w:spacing w:after="80" w:before="40"/>
      </w:pPr>
      <w:r>
        <w:rPr>
          <w:rFonts w:ascii="Arial" w:cs="Arial" w:eastAsia="Arial" w:hAnsi="Arial"/>
          <w:b/>
          <w:bCs/>
          <w:color w:val="222222"/>
          <w:sz w:val="22"/>
          <w:szCs w:val="22"/>
        </w:rPr>
        <w:t xml:space="preserve">ATS rejection rates: </w:t>
      </w:r>
      <w:r>
        <w:rPr>
          <w:rFonts w:ascii="Arial" w:cs="Arial" w:eastAsia="Arial" w:hAnsi="Arial"/>
          <w:sz w:val="22"/>
          <w:szCs w:val="22"/>
        </w:rPr>
        <w:t xml:space="preserve">Industry estimates suggest 70%+ of graduate applications are rejected before human review — often due to keyword mismatches, formatting issues, or CV gaps that AI treats as disqualifying.</w:t>
      </w:r>
    </w:p>
    <w:p>
      <w:pPr>
        <w:pStyle w:val="ListParagraph"/>
        <w:numPr>
          <w:ilvl w:val="0"/>
          <w:numId w:val="2"/>
        </w:numPr>
        <w:spacing w:after="80" w:before="40"/>
      </w:pPr>
      <w:r>
        <w:rPr>
          <w:rFonts w:ascii="Arial" w:cs="Arial" w:eastAsia="Arial" w:hAnsi="Arial"/>
          <w:b/>
          <w:bCs/>
          <w:color w:val="222222"/>
          <w:sz w:val="22"/>
          <w:szCs w:val="22"/>
        </w:rPr>
        <w:t xml:space="preserve">AI replacing entry-level work: </w:t>
      </w:r>
      <w:r>
        <w:rPr>
          <w:rFonts w:ascii="Arial" w:cs="Arial" w:eastAsia="Arial" w:hAnsi="Arial"/>
          <w:sz w:val="22"/>
          <w:szCs w:val="22"/>
        </w:rPr>
        <w:t xml:space="preserve">Two-fifths of business leaders reported that entry-level roles had already been reduced or cut as a result of AI efficiency gains. 66% of global enterprises planned to cut entry-level hiring due to AI and automation (IDC/Deel, 2025).</w:t>
      </w:r>
    </w:p>
    <w:p>
      <w:pPr>
        <w:pStyle w:val="ListParagraph"/>
        <w:numPr>
          <w:ilvl w:val="0"/>
          <w:numId w:val="2"/>
        </w:numPr>
        <w:spacing w:after="80" w:before="40"/>
      </w:pPr>
      <w:r>
        <w:rPr>
          <w:rFonts w:ascii="Arial" w:cs="Arial" w:eastAsia="Arial" w:hAnsi="Arial"/>
          <w:b/>
          <w:bCs/>
          <w:color w:val="222222"/>
          <w:sz w:val="22"/>
          <w:szCs w:val="22"/>
        </w:rPr>
        <w:t xml:space="preserve">Skills-based hiring shift: </w:t>
      </w:r>
      <w:r>
        <w:rPr>
          <w:rFonts w:ascii="Arial" w:cs="Arial" w:eastAsia="Arial" w:hAnsi="Arial"/>
          <w:sz w:val="22"/>
          <w:szCs w:val="22"/>
        </w:rPr>
        <w:t xml:space="preserve">41% of UK employers are actively moving away from CV-first hiring, with 10% having largely replaced CVs with skills-based and scenario-driven assessments. Graduates who cannot demonstrate skills directly are at a disadvantage.</w:t>
      </w:r>
    </w:p>
    <w:p>
      <w:pPr>
        <w:pStyle w:val="ListParagraph"/>
        <w:numPr>
          <w:ilvl w:val="0"/>
          <w:numId w:val="2"/>
        </w:numPr>
        <w:spacing w:after="80" w:before="40"/>
      </w:pPr>
      <w:r>
        <w:rPr>
          <w:rFonts w:ascii="Arial" w:cs="Arial" w:eastAsia="Arial" w:hAnsi="Arial"/>
          <w:b/>
          <w:bCs/>
          <w:color w:val="222222"/>
          <w:sz w:val="22"/>
          <w:szCs w:val="22"/>
        </w:rPr>
        <w:t xml:space="preserve">Graduate response: </w:t>
      </w:r>
      <w:r>
        <w:rPr>
          <w:rFonts w:ascii="Arial" w:cs="Arial" w:eastAsia="Arial" w:hAnsi="Arial"/>
          <w:sz w:val="22"/>
          <w:szCs w:val="22"/>
        </w:rPr>
        <w:t xml:space="preserve">11% of graduates have already changed career plans due to AI concerns (Prospects.ac.uk, 2025). Graduate enrollment in AI, machine learning and data science programmes surged in 2024-25.</w:t>
      </w:r>
    </w:p>
    <w:p>
      <w:pPr>
        <w:pStyle w:val="ListParagraph"/>
        <w:numPr>
          <w:ilvl w:val="0"/>
          <w:numId w:val="2"/>
        </w:numPr>
        <w:spacing w:after="80" w:before="40"/>
      </w:pPr>
      <w:r>
        <w:rPr>
          <w:rFonts w:ascii="Arial" w:cs="Arial" w:eastAsia="Arial" w:hAnsi="Arial"/>
          <w:b/>
          <w:bCs/>
          <w:color w:val="222222"/>
          <w:sz w:val="22"/>
          <w:szCs w:val="22"/>
        </w:rPr>
        <w:t xml:space="preserve">The paradox: </w:t>
      </w:r>
      <w:r>
        <w:rPr>
          <w:rFonts w:ascii="Arial" w:cs="Arial" w:eastAsia="Arial" w:hAnsi="Arial"/>
          <w:sz w:val="22"/>
          <w:szCs w:val="22"/>
        </w:rPr>
        <w:t xml:space="preserve">AI tools that screen candidates also perform work that junior analysts once did — data entry, basic modelling, report generation. This reduces both the number of roles available and the number of applications that reach a human reviewer.</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4.4 Factor 4: Geographic Concentration — The London Bottleneck</w:t>
      </w:r>
    </w:p>
    <w:p>
      <w:pPr>
        <w:spacing w:after="120" w:before="60"/>
        <w:jc w:val="both"/>
      </w:pPr>
      <w:r>
        <w:rPr>
          <w:rFonts w:ascii="Arial" w:cs="Arial" w:eastAsia="Arial" w:hAnsi="Arial"/>
          <w:color w:val="222222"/>
          <w:sz w:val="22"/>
          <w:szCs w:val="22"/>
        </w:rPr>
        <w:t xml:space="preserve">The UK's extreme geographic economic concentration is a structural problem that the data makes plain.</w:t>
      </w:r>
    </w:p>
    <w:p>
      <w:pPr>
        <w:pStyle w:val="ListParagraph"/>
        <w:numPr>
          <w:ilvl w:val="0"/>
          <w:numId w:val="2"/>
        </w:numPr>
        <w:spacing w:after="80" w:before="40"/>
      </w:pPr>
      <w:r>
        <w:rPr>
          <w:rFonts w:ascii="Arial" w:cs="Arial" w:eastAsia="Arial" w:hAnsi="Arial"/>
          <w:b/>
          <w:bCs/>
          <w:color w:val="222222"/>
          <w:sz w:val="22"/>
          <w:szCs w:val="22"/>
        </w:rPr>
        <w:t xml:space="preserve">London dominance: </w:t>
      </w:r>
      <w:r>
        <w:rPr>
          <w:rFonts w:ascii="Arial" w:cs="Arial" w:eastAsia="Arial" w:hAnsi="Arial"/>
          <w:sz w:val="22"/>
          <w:szCs w:val="22"/>
        </w:rPr>
        <w:t xml:space="preserve">86.2% of graduate analyst postings are in London, which contains just 13% of the UK population. For most graduate roles in finance, consulting, tech and business analytics, 'London or nothing' is the effective choice.</w:t>
      </w:r>
    </w:p>
    <w:p>
      <w:pPr>
        <w:pStyle w:val="ListParagraph"/>
        <w:numPr>
          <w:ilvl w:val="0"/>
          <w:numId w:val="2"/>
        </w:numPr>
        <w:spacing w:after="80" w:before="40"/>
      </w:pPr>
      <w:r>
        <w:rPr>
          <w:rFonts w:ascii="Arial" w:cs="Arial" w:eastAsia="Arial" w:hAnsi="Arial"/>
          <w:b/>
          <w:bCs/>
          <w:color w:val="222222"/>
          <w:sz w:val="22"/>
          <w:szCs w:val="22"/>
        </w:rPr>
        <w:t xml:space="preserve">Regional employment gaps: </w:t>
      </w:r>
      <w:r>
        <w:rPr>
          <w:rFonts w:ascii="Arial" w:cs="Arial" w:eastAsia="Arial" w:hAnsi="Arial"/>
          <w:sz w:val="22"/>
          <w:szCs w:val="22"/>
        </w:rPr>
        <w:t xml:space="preserve">ONS Regional Labour Market data (December 2025) shows the employment rate in the South West (80.0%) is 11.8 percentage points higher than the North East (68.2%). London added 170,000 workforce jobs in 2024 alone.</w:t>
      </w:r>
    </w:p>
    <w:p>
      <w:pPr>
        <w:pStyle w:val="ListParagraph"/>
        <w:numPr>
          <w:ilvl w:val="0"/>
          <w:numId w:val="2"/>
        </w:numPr>
        <w:spacing w:after="80" w:before="40"/>
      </w:pPr>
      <w:r>
        <w:rPr>
          <w:rFonts w:ascii="Arial" w:cs="Arial" w:eastAsia="Arial" w:hAnsi="Arial"/>
          <w:b/>
          <w:bCs/>
          <w:color w:val="222222"/>
          <w:sz w:val="22"/>
          <w:szCs w:val="22"/>
        </w:rPr>
        <w:t xml:space="preserve">Skills concentration: </w:t>
      </w:r>
      <w:r>
        <w:rPr>
          <w:rFonts w:ascii="Arial" w:cs="Arial" w:eastAsia="Arial" w:hAnsi="Arial"/>
          <w:sz w:val="22"/>
          <w:szCs w:val="22"/>
        </w:rPr>
        <w:t xml:space="preserve">Greater London has 65.2% of jobs classified as high-skill — above the OECD average of 44%. North East England's share is 17.9%.</w:t>
      </w:r>
    </w:p>
    <w:p>
      <w:pPr>
        <w:pStyle w:val="ListParagraph"/>
        <w:numPr>
          <w:ilvl w:val="0"/>
          <w:numId w:val="2"/>
        </w:numPr>
        <w:spacing w:after="80" w:before="40"/>
      </w:pPr>
      <w:r>
        <w:rPr>
          <w:rFonts w:ascii="Arial" w:cs="Arial" w:eastAsia="Arial" w:hAnsi="Arial"/>
          <w:b/>
          <w:bCs/>
          <w:color w:val="222222"/>
          <w:sz w:val="22"/>
          <w:szCs w:val="22"/>
        </w:rPr>
        <w:t xml:space="preserve">Graduate migration: </w:t>
      </w:r>
      <w:r>
        <w:rPr>
          <w:rFonts w:ascii="Arial" w:cs="Arial" w:eastAsia="Arial" w:hAnsi="Arial"/>
          <w:sz w:val="22"/>
          <w:szCs w:val="22"/>
        </w:rPr>
        <w:t xml:space="preserve">44% of UK graduates live outside their hometown by age 32, migrating toward economic opportunities. This exacerbates the North-South divide as talent concentrates in London and the South East.</w:t>
      </w:r>
    </w:p>
    <w:p>
      <w:pPr>
        <w:pStyle w:val="ListParagraph"/>
        <w:numPr>
          <w:ilvl w:val="0"/>
          <w:numId w:val="2"/>
        </w:numPr>
        <w:spacing w:after="80" w:before="40"/>
      </w:pPr>
      <w:r>
        <w:rPr>
          <w:rFonts w:ascii="Arial" w:cs="Arial" w:eastAsia="Arial" w:hAnsi="Arial"/>
          <w:b/>
          <w:bCs/>
          <w:color w:val="222222"/>
          <w:sz w:val="22"/>
          <w:szCs w:val="22"/>
        </w:rPr>
        <w:t xml:space="preserve">Cost barrier: </w:t>
      </w:r>
      <w:r>
        <w:rPr>
          <w:rFonts w:ascii="Arial" w:cs="Arial" w:eastAsia="Arial" w:hAnsi="Arial"/>
          <w:sz w:val="22"/>
          <w:szCs w:val="22"/>
        </w:rPr>
        <w:t xml:space="preserve">London average rent in 2025 exceeds £2,000/month for a one-bedroom flat. With average graduate starting salaries of £28,000-£35,000, London is effectively unaffordable for graduates without family financial support — creating a class-based barrier to the most graduate-dense labour market.</w:t>
      </w:r>
    </w:p>
    <w:p>
      <w:pPr>
        <w:pStyle w:val="ListParagraph"/>
        <w:numPr>
          <w:ilvl w:val="0"/>
          <w:numId w:val="2"/>
        </w:numPr>
        <w:spacing w:after="80" w:before="40"/>
      </w:pPr>
      <w:r>
        <w:rPr>
          <w:rFonts w:ascii="Arial" w:cs="Arial" w:eastAsia="Arial" w:hAnsi="Arial"/>
          <w:b/>
          <w:bCs/>
          <w:color w:val="222222"/>
          <w:sz w:val="22"/>
          <w:szCs w:val="22"/>
        </w:rPr>
        <w:t xml:space="preserve">Levelling Up failure: </w:t>
      </w:r>
      <w:r>
        <w:rPr>
          <w:rFonts w:ascii="Arial" w:cs="Arial" w:eastAsia="Arial" w:hAnsi="Arial"/>
          <w:sz w:val="22"/>
          <w:szCs w:val="22"/>
        </w:rPr>
        <w:t xml:space="preserve">Despite billions committed to Levelling Up, the Social Mobility Commission (2025) identified 'extreme regional disparities' as a leading cause of entrenched UK inequality.</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4.5 Factor 5: Zero-Hours Contracts and Insecure Work</w:t>
      </w:r>
    </w:p>
    <w:p>
      <w:pPr>
        <w:spacing w:after="120" w:before="60"/>
        <w:jc w:val="both"/>
      </w:pPr>
      <w:r>
        <w:rPr>
          <w:rFonts w:ascii="Arial" w:cs="Arial" w:eastAsia="Arial" w:hAnsi="Arial"/>
          <w:color w:val="222222"/>
          <w:sz w:val="22"/>
          <w:szCs w:val="22"/>
        </w:rPr>
        <w:t xml:space="preserve">The rise of insecure work is not new but has accelerated post-2020, creating a two-tier labour market where the gap between secure and insecure employment has widened.</w:t>
      </w:r>
    </w:p>
    <w:p>
      <w:pPr>
        <w:pStyle w:val="ListParagraph"/>
        <w:numPr>
          <w:ilvl w:val="0"/>
          <w:numId w:val="2"/>
        </w:numPr>
        <w:spacing w:after="80" w:before="40"/>
      </w:pPr>
      <w:r>
        <w:rPr>
          <w:rFonts w:ascii="Arial" w:cs="Arial" w:eastAsia="Arial" w:hAnsi="Arial"/>
          <w:b/>
          <w:bCs/>
          <w:color w:val="222222"/>
          <w:sz w:val="22"/>
          <w:szCs w:val="22"/>
        </w:rPr>
        <w:t xml:space="preserve">Scale: </w:t>
      </w:r>
      <w:r>
        <w:rPr>
          <w:rFonts w:ascii="Arial" w:cs="Arial" w:eastAsia="Arial" w:hAnsi="Arial"/>
          <w:sz w:val="22"/>
          <w:szCs w:val="22"/>
        </w:rPr>
        <w:t xml:space="preserve">1.17 million people were on zero-hours contracts in 2025 — up from 1.03 million in 2024. One in nine workers works in an insecure contract or no contract at all.</w:t>
      </w:r>
    </w:p>
    <w:p>
      <w:pPr>
        <w:pStyle w:val="ListParagraph"/>
        <w:numPr>
          <w:ilvl w:val="0"/>
          <w:numId w:val="2"/>
        </w:numPr>
        <w:spacing w:after="80" w:before="40"/>
      </w:pPr>
      <w:r>
        <w:rPr>
          <w:rFonts w:ascii="Arial" w:cs="Arial" w:eastAsia="Arial" w:hAnsi="Arial"/>
          <w:b/>
          <w:bCs/>
          <w:color w:val="222222"/>
          <w:sz w:val="22"/>
          <w:szCs w:val="22"/>
        </w:rPr>
        <w:t xml:space="preserve">Graduate insecure work: </w:t>
      </w:r>
      <w:r>
        <w:rPr>
          <w:rFonts w:ascii="Arial" w:cs="Arial" w:eastAsia="Arial" w:hAnsi="Arial"/>
          <w:sz w:val="22"/>
          <w:szCs w:val="22"/>
        </w:rPr>
        <w:t xml:space="preserve">Many graduates unable to find graduate-level roles take zero-hours or gig economy work as a temporary solution that can persist for years. This underemployment is not captured in unemployment statistics.</w:t>
      </w:r>
    </w:p>
    <w:p>
      <w:pPr>
        <w:pStyle w:val="ListParagraph"/>
        <w:numPr>
          <w:ilvl w:val="0"/>
          <w:numId w:val="2"/>
        </w:numPr>
        <w:spacing w:after="80" w:before="40"/>
      </w:pPr>
      <w:r>
        <w:rPr>
          <w:rFonts w:ascii="Arial" w:cs="Arial" w:eastAsia="Arial" w:hAnsi="Arial"/>
          <w:b/>
          <w:bCs/>
          <w:color w:val="222222"/>
          <w:sz w:val="22"/>
          <w:szCs w:val="22"/>
        </w:rPr>
        <w:t xml:space="preserve">Wellbeing impact: </w:t>
      </w:r>
      <w:r>
        <w:rPr>
          <w:rFonts w:ascii="Arial" w:cs="Arial" w:eastAsia="Arial" w:hAnsi="Arial"/>
          <w:sz w:val="22"/>
          <w:szCs w:val="22"/>
        </w:rPr>
        <w:t xml:space="preserve">A 2023 study of 510 UK-based gig workers found 75%+ experienced work-related insecurity and anxiety. More than half reported earning below minimum wage in some weeks.</w:t>
      </w:r>
    </w:p>
    <w:p>
      <w:pPr>
        <w:pStyle w:val="ListParagraph"/>
        <w:numPr>
          <w:ilvl w:val="0"/>
          <w:numId w:val="2"/>
        </w:numPr>
        <w:spacing w:after="80" w:before="40"/>
      </w:pPr>
      <w:r>
        <w:rPr>
          <w:rFonts w:ascii="Arial" w:cs="Arial" w:eastAsia="Arial" w:hAnsi="Arial"/>
          <w:b/>
          <w:bCs/>
          <w:color w:val="222222"/>
          <w:sz w:val="22"/>
          <w:szCs w:val="22"/>
        </w:rPr>
        <w:t xml:space="preserve">Government reform: </w:t>
      </w:r>
      <w:r>
        <w:rPr>
          <w:rFonts w:ascii="Arial" w:cs="Arial" w:eastAsia="Arial" w:hAnsi="Arial"/>
          <w:sz w:val="22"/>
          <w:szCs w:val="22"/>
        </w:rPr>
        <w:t xml:space="preserve">The Employment Rights Act (December 2025) bans 'exploitative' zero-hours contracts and requires reasonable shift notice. However, implementation is phased and many categories of worker are exempt.</w:t>
      </w:r>
    </w:p>
    <w:p>
      <w:pPr>
        <w:pStyle w:val="ListParagraph"/>
        <w:numPr>
          <w:ilvl w:val="0"/>
          <w:numId w:val="2"/>
        </w:numPr>
        <w:spacing w:after="80" w:before="40"/>
      </w:pPr>
      <w:r>
        <w:rPr>
          <w:rFonts w:ascii="Arial" w:cs="Arial" w:eastAsia="Arial" w:hAnsi="Arial"/>
          <w:b/>
          <w:bCs/>
          <w:color w:val="222222"/>
          <w:sz w:val="22"/>
          <w:szCs w:val="22"/>
        </w:rPr>
        <w:t xml:space="preserve">Graduates in gig work: </w:t>
      </w:r>
      <w:r>
        <w:rPr>
          <w:rFonts w:ascii="Arial" w:cs="Arial" w:eastAsia="Arial" w:hAnsi="Arial"/>
          <w:sz w:val="22"/>
          <w:szCs w:val="22"/>
        </w:rPr>
        <w:t xml:space="preserve">Deliveroo, Uber Eats and similar platforms have seen an increase in graduates using gig work as a stopgap. This is not what their education prepared them for and represents significant human capital waste.</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4.6 Factor 6: Employer Confidence and Business Caution</w:t>
      </w:r>
    </w:p>
    <w:p>
      <w:pPr>
        <w:spacing w:after="120" w:before="60"/>
        <w:jc w:val="both"/>
      </w:pPr>
      <w:r>
        <w:rPr>
          <w:rFonts w:ascii="Arial" w:cs="Arial" w:eastAsia="Arial" w:hAnsi="Arial"/>
          <w:color w:val="222222"/>
          <w:sz w:val="22"/>
          <w:szCs w:val="22"/>
        </w:rPr>
        <w:t xml:space="preserve">Beyond the specific shocks of inflation and NI rises, a broader pattern of employer risk aversion has suppressed graduate hiring.</w:t>
      </w:r>
    </w:p>
    <w:p>
      <w:pPr>
        <w:pStyle w:val="ListParagraph"/>
        <w:numPr>
          <w:ilvl w:val="0"/>
          <w:numId w:val="2"/>
        </w:numPr>
        <w:spacing w:after="80" w:before="40"/>
      </w:pPr>
      <w:r>
        <w:rPr>
          <w:rFonts w:ascii="Arial" w:cs="Arial" w:eastAsia="Arial" w:hAnsi="Arial"/>
          <w:b/>
          <w:bCs/>
          <w:color w:val="222222"/>
          <w:sz w:val="22"/>
          <w:szCs w:val="22"/>
        </w:rPr>
        <w:t xml:space="preserve">Vacancy decline: </w:t>
      </w:r>
      <w:r>
        <w:rPr>
          <w:rFonts w:ascii="Arial" w:cs="Arial" w:eastAsia="Arial" w:hAnsi="Arial"/>
          <w:sz w:val="22"/>
          <w:szCs w:val="22"/>
        </w:rPr>
        <w:t xml:space="preserve">Job vacancies have fallen for 39 consecutive quarters. The proportion of private-sector businesses planning to hire fell from 65% in 2024 to 57% by mid-2025.</w:t>
      </w:r>
    </w:p>
    <w:p>
      <w:pPr>
        <w:pStyle w:val="ListParagraph"/>
        <w:numPr>
          <w:ilvl w:val="0"/>
          <w:numId w:val="2"/>
        </w:numPr>
        <w:spacing w:after="80" w:before="40"/>
      </w:pPr>
      <w:r>
        <w:rPr>
          <w:rFonts w:ascii="Arial" w:cs="Arial" w:eastAsia="Arial" w:hAnsi="Arial"/>
          <w:b/>
          <w:bCs/>
          <w:color w:val="222222"/>
          <w:sz w:val="22"/>
          <w:szCs w:val="22"/>
        </w:rPr>
        <w:t xml:space="preserve">Hiring freeze culture: </w:t>
      </w:r>
      <w:r>
        <w:rPr>
          <w:rFonts w:ascii="Arial" w:cs="Arial" w:eastAsia="Arial" w:hAnsi="Arial"/>
          <w:sz w:val="22"/>
          <w:szCs w:val="22"/>
        </w:rPr>
        <w:t xml:space="preserve">Economic uncertainty — geopolitical instability (Ukraine, Middle East), trade policy shifts, and domestic policy unpredictability — has made employers reluctant to commit to permanent headcount.</w:t>
      </w:r>
    </w:p>
    <w:p>
      <w:pPr>
        <w:pStyle w:val="ListParagraph"/>
        <w:numPr>
          <w:ilvl w:val="0"/>
          <w:numId w:val="2"/>
        </w:numPr>
        <w:spacing w:after="80" w:before="40"/>
      </w:pPr>
      <w:r>
        <w:rPr>
          <w:rFonts w:ascii="Arial" w:cs="Arial" w:eastAsia="Arial" w:hAnsi="Arial"/>
          <w:b/>
          <w:bCs/>
          <w:color w:val="222222"/>
          <w:sz w:val="22"/>
          <w:szCs w:val="22"/>
        </w:rPr>
        <w:t xml:space="preserve">Preference for contract and temp: </w:t>
      </w:r>
      <w:r>
        <w:rPr>
          <w:rFonts w:ascii="Arial" w:cs="Arial" w:eastAsia="Arial" w:hAnsi="Arial"/>
          <w:sz w:val="22"/>
          <w:szCs w:val="22"/>
        </w:rPr>
        <w:t xml:space="preserve">Employers increasingly prefer flexible contract workers over permanent graduate hires. This reduces costs but also reduces the pipeline of early careers talent that feeds senior roles.</w:t>
      </w:r>
    </w:p>
    <w:p>
      <w:pPr>
        <w:pStyle w:val="ListParagraph"/>
        <w:numPr>
          <w:ilvl w:val="0"/>
          <w:numId w:val="2"/>
        </w:numPr>
        <w:spacing w:after="80" w:before="40"/>
      </w:pPr>
      <w:r>
        <w:rPr>
          <w:rFonts w:ascii="Arial" w:cs="Arial" w:eastAsia="Arial" w:hAnsi="Arial"/>
          <w:b/>
          <w:bCs/>
          <w:color w:val="222222"/>
          <w:sz w:val="22"/>
          <w:szCs w:val="22"/>
        </w:rPr>
        <w:t xml:space="preserve">Redundancy wave: </w:t>
      </w:r>
      <w:r>
        <w:rPr>
          <w:rFonts w:ascii="Arial" w:cs="Arial" w:eastAsia="Arial" w:hAnsi="Arial"/>
          <w:sz w:val="22"/>
          <w:szCs w:val="22"/>
        </w:rPr>
        <w:t xml:space="preserve">Redundancies rose in 2024-2025. Many announced redundancies came from firms that had over-hired in the 2021-22 reopening boom — primarily in tech, e-commerce, media and financial services.</w:t>
      </w:r>
    </w:p>
    <w:p>
      <w:pPr>
        <w:pStyle w:val="ListParagraph"/>
        <w:numPr>
          <w:ilvl w:val="0"/>
          <w:numId w:val="2"/>
        </w:numPr>
        <w:spacing w:after="80" w:before="40"/>
      </w:pPr>
      <w:r>
        <w:rPr>
          <w:rFonts w:ascii="Arial" w:cs="Arial" w:eastAsia="Arial" w:hAnsi="Arial"/>
          <w:b/>
          <w:bCs/>
          <w:color w:val="222222"/>
          <w:sz w:val="22"/>
          <w:szCs w:val="22"/>
        </w:rPr>
        <w:t xml:space="preserve">NatWest/HSBC survey data: </w:t>
      </w:r>
      <w:r>
        <w:rPr>
          <w:rFonts w:ascii="Arial" w:cs="Arial" w:eastAsia="Arial" w:hAnsi="Arial"/>
          <w:sz w:val="22"/>
          <w:szCs w:val="22"/>
        </w:rPr>
        <w:t xml:space="preserve">Business confidence indices remained below long-run averages throughout 2024-2025, with persistent concerns about consumer demand, input costs, and employment law changes.</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4.7 Factor 7: The Gender and Ethnicity Pay Gap</w:t>
      </w:r>
    </w:p>
    <w:p>
      <w:pPr>
        <w:spacing w:after="120" w:before="60"/>
        <w:jc w:val="both"/>
      </w:pPr>
      <w:r>
        <w:rPr>
          <w:rFonts w:ascii="Arial" w:cs="Arial" w:eastAsia="Arial" w:hAnsi="Arial"/>
          <w:color w:val="222222"/>
          <w:sz w:val="22"/>
          <w:szCs w:val="22"/>
        </w:rPr>
        <w:t xml:space="preserve">Recovery from COVID has not been equal across demographic groups. Structural inequalities in the labour market have persisted and in some measures widened.</w:t>
      </w:r>
    </w:p>
    <w:p>
      <w:pPr>
        <w:pStyle w:val="ListParagraph"/>
        <w:numPr>
          <w:ilvl w:val="0"/>
          <w:numId w:val="2"/>
        </w:numPr>
        <w:spacing w:after="80" w:before="40"/>
      </w:pPr>
      <w:r>
        <w:rPr>
          <w:rFonts w:ascii="Arial" w:cs="Arial" w:eastAsia="Arial" w:hAnsi="Arial"/>
          <w:b/>
          <w:bCs/>
          <w:color w:val="222222"/>
          <w:sz w:val="22"/>
          <w:szCs w:val="22"/>
        </w:rPr>
        <w:t xml:space="preserve">Gender pay gap: </w:t>
      </w:r>
      <w:r>
        <w:rPr>
          <w:rFonts w:ascii="Arial" w:cs="Arial" w:eastAsia="Arial" w:hAnsi="Arial"/>
          <w:sz w:val="22"/>
          <w:szCs w:val="22"/>
        </w:rPr>
        <w:t xml:space="preserve">The gender low pay gap widened from 4.7 percentage points in 2022 to 6.1 percentage points in 2024, though it narrowed to 4.5pp by April 2025 (lowest since records began).</w:t>
      </w:r>
    </w:p>
    <w:p>
      <w:pPr>
        <w:pStyle w:val="ListParagraph"/>
        <w:numPr>
          <w:ilvl w:val="0"/>
          <w:numId w:val="2"/>
        </w:numPr>
        <w:spacing w:after="80" w:before="40"/>
      </w:pPr>
      <w:r>
        <w:rPr>
          <w:rFonts w:ascii="Arial" w:cs="Arial" w:eastAsia="Arial" w:hAnsi="Arial"/>
          <w:b/>
          <w:bCs/>
          <w:color w:val="222222"/>
          <w:sz w:val="22"/>
          <w:szCs w:val="22"/>
        </w:rPr>
        <w:t xml:space="preserve">Women in low pay: </w:t>
      </w:r>
      <w:r>
        <w:rPr>
          <w:rFonts w:ascii="Arial" w:cs="Arial" w:eastAsia="Arial" w:hAnsi="Arial"/>
          <w:sz w:val="22"/>
          <w:szCs w:val="22"/>
        </w:rPr>
        <w:t xml:space="preserve">18.7% of jobs held by women were paid below the real Living Wage in 2024 (2.8 million women), compared to 12.6% of jobs held by men. Women remain 50% more likely to be low paid than men.</w:t>
      </w:r>
    </w:p>
    <w:p>
      <w:pPr>
        <w:pStyle w:val="ListParagraph"/>
        <w:numPr>
          <w:ilvl w:val="0"/>
          <w:numId w:val="2"/>
        </w:numPr>
        <w:spacing w:after="80" w:before="40"/>
      </w:pPr>
      <w:r>
        <w:rPr>
          <w:rFonts w:ascii="Arial" w:cs="Arial" w:eastAsia="Arial" w:hAnsi="Arial"/>
          <w:b/>
          <w:bCs/>
          <w:color w:val="222222"/>
          <w:sz w:val="22"/>
          <w:szCs w:val="22"/>
        </w:rPr>
        <w:t xml:space="preserve">Occupational segregation: </w:t>
      </w:r>
      <w:r>
        <w:rPr>
          <w:rFonts w:ascii="Arial" w:cs="Arial" w:eastAsia="Arial" w:hAnsi="Arial"/>
          <w:sz w:val="22"/>
          <w:szCs w:val="22"/>
        </w:rPr>
        <w:t xml:space="preserve">Women are disproportionately concentrated in the 'five Cs': caring, cleaning, catering, clerical and cashiering — all lower-paid sectors. These sectors were hardest hit by the pandemic and have seen least wage recovery.</w:t>
      </w:r>
    </w:p>
    <w:p>
      <w:pPr>
        <w:pStyle w:val="ListParagraph"/>
        <w:numPr>
          <w:ilvl w:val="0"/>
          <w:numId w:val="2"/>
        </w:numPr>
        <w:spacing w:after="80" w:before="40"/>
      </w:pPr>
      <w:r>
        <w:rPr>
          <w:rFonts w:ascii="Arial" w:cs="Arial" w:eastAsia="Arial" w:hAnsi="Arial"/>
          <w:b/>
          <w:bCs/>
          <w:color w:val="222222"/>
          <w:sz w:val="22"/>
          <w:szCs w:val="22"/>
        </w:rPr>
        <w:t xml:space="preserve">Ethnicity pay gap: </w:t>
      </w:r>
      <w:r>
        <w:rPr>
          <w:rFonts w:ascii="Arial" w:cs="Arial" w:eastAsia="Arial" w:hAnsi="Arial"/>
          <w:sz w:val="22"/>
          <w:szCs w:val="22"/>
        </w:rPr>
        <w:t xml:space="preserve">Despite limited mandatory reporting (there is currently no legal requirement for ethnicity pay gap reporting), available data consistently shows Black, Asian and Minority Ethnic workers face a pay gap of 2-23% depending on ethnicity and sector.</w:t>
      </w:r>
    </w:p>
    <w:p>
      <w:pPr>
        <w:pStyle w:val="ListParagraph"/>
        <w:numPr>
          <w:ilvl w:val="0"/>
          <w:numId w:val="2"/>
        </w:numPr>
        <w:spacing w:after="80" w:before="40"/>
      </w:pPr>
      <w:r>
        <w:rPr>
          <w:rFonts w:ascii="Arial" w:cs="Arial" w:eastAsia="Arial" w:hAnsi="Arial"/>
          <w:b/>
          <w:bCs/>
          <w:color w:val="222222"/>
          <w:sz w:val="22"/>
          <w:szCs w:val="22"/>
        </w:rPr>
        <w:t xml:space="preserve">Graduate ethnicity gap: </w:t>
      </w:r>
      <w:r>
        <w:rPr>
          <w:rFonts w:ascii="Arial" w:cs="Arial" w:eastAsia="Arial" w:hAnsi="Arial"/>
          <w:sz w:val="22"/>
          <w:szCs w:val="22"/>
        </w:rPr>
        <w:t xml:space="preserve">HESA data shows Black graduates are twice as likely to be unemployed six months after graduating compared to White graduates — a persistent and troubling gap that AI-powered recruitment may exacerbate if training data encodes historical bias.</w:t>
      </w:r>
    </w:p>
    <w:p>
      <w:r>
        <w:br w:type="page"/>
      </w:r>
    </w:p>
    <w:p>
      <w:pPr>
        <w:pStyle w:val="Heading2"/>
        <w:spacing w:after="140" w:before="280"/>
      </w:pPr>
      <w:r>
        <w:rPr>
          <w:rFonts w:ascii="Arial" w:cs="Arial" w:eastAsia="Arial" w:hAnsi="Arial"/>
          <w:b/>
          <w:bCs/>
          <w:color w:val="1565C0"/>
          <w:sz w:val="28"/>
          <w:szCs w:val="28"/>
        </w:rPr>
        <w:t xml:space="preserve">4.8 Factor 8: Post-Brexit Labour Market Restructuring</w:t>
      </w:r>
    </w:p>
    <w:p>
      <w:pPr>
        <w:spacing w:after="120" w:before="60"/>
        <w:jc w:val="both"/>
      </w:pPr>
      <w:r>
        <w:rPr>
          <w:rFonts w:ascii="Arial" w:cs="Arial" w:eastAsia="Arial" w:hAnsi="Arial"/>
          <w:color w:val="222222"/>
          <w:sz w:val="22"/>
          <w:szCs w:val="22"/>
        </w:rPr>
        <w:t xml:space="preserve">The UK's departure from the EU Single Market fundamentally restructured labour supply and created sectoral shortages that distort the overall picture.</w:t>
      </w:r>
    </w:p>
    <w:p>
      <w:pPr>
        <w:pStyle w:val="ListParagraph"/>
        <w:numPr>
          <w:ilvl w:val="0"/>
          <w:numId w:val="2"/>
        </w:numPr>
        <w:spacing w:after="80" w:before="40"/>
      </w:pPr>
      <w:r>
        <w:rPr>
          <w:rFonts w:ascii="Arial" w:cs="Arial" w:eastAsia="Arial" w:hAnsi="Arial"/>
          <w:b/>
          <w:bCs/>
          <w:color w:val="222222"/>
          <w:sz w:val="22"/>
          <w:szCs w:val="22"/>
        </w:rPr>
        <w:t xml:space="preserve">EU worker exit: </w:t>
      </w:r>
      <w:r>
        <w:rPr>
          <w:rFonts w:ascii="Arial" w:cs="Arial" w:eastAsia="Arial" w:hAnsi="Arial"/>
          <w:sz w:val="22"/>
          <w:szCs w:val="22"/>
        </w:rPr>
        <w:t xml:space="preserve">An estimated 600,000-900,000 EU workers left the UK between 2019 and 2022. This created acute shortages in sectors that relied on EU workers: agriculture, food processing, health and social care, hospitality and haulage.</w:t>
      </w:r>
    </w:p>
    <w:p>
      <w:pPr>
        <w:pStyle w:val="ListParagraph"/>
        <w:numPr>
          <w:ilvl w:val="0"/>
          <w:numId w:val="2"/>
        </w:numPr>
        <w:spacing w:after="80" w:before="40"/>
      </w:pPr>
      <w:r>
        <w:rPr>
          <w:rFonts w:ascii="Arial" w:cs="Arial" w:eastAsia="Arial" w:hAnsi="Arial"/>
          <w:b/>
          <w:bCs/>
          <w:color w:val="222222"/>
          <w:sz w:val="22"/>
          <w:szCs w:val="22"/>
        </w:rPr>
        <w:t xml:space="preserve">Healthcare staffing crisis: </w:t>
      </w:r>
      <w:r>
        <w:rPr>
          <w:rFonts w:ascii="Arial" w:cs="Arial" w:eastAsia="Arial" w:hAnsi="Arial"/>
          <w:sz w:val="22"/>
          <w:szCs w:val="22"/>
        </w:rPr>
        <w:t xml:space="preserve">The NHS has 100,000+ vacancies, addressed partially through international recruitment from Asia and Africa. The British Medical Association reported a 4.9% increase in medical jobs as of September 2024 — reflecting need, not supply.</w:t>
      </w:r>
    </w:p>
    <w:p>
      <w:pPr>
        <w:pStyle w:val="ListParagraph"/>
        <w:numPr>
          <w:ilvl w:val="0"/>
          <w:numId w:val="2"/>
        </w:numPr>
        <w:spacing w:after="80" w:before="40"/>
      </w:pPr>
      <w:r>
        <w:rPr>
          <w:rFonts w:ascii="Arial" w:cs="Arial" w:eastAsia="Arial" w:hAnsi="Arial"/>
          <w:b/>
          <w:bCs/>
          <w:color w:val="222222"/>
          <w:sz w:val="22"/>
          <w:szCs w:val="22"/>
        </w:rPr>
        <w:t xml:space="preserve">Misidentified slack: </w:t>
      </w:r>
      <w:r>
        <w:rPr>
          <w:rFonts w:ascii="Arial" w:cs="Arial" w:eastAsia="Arial" w:hAnsi="Arial"/>
          <w:sz w:val="22"/>
          <w:szCs w:val="22"/>
        </w:rPr>
        <w:t xml:space="preserve">The headline vacancy figure of 700,000+ includes a large proportion of NHS, social care and manual labour vacancies that are structurally mismatched with the graduate supply. These vacancies cannot absorb Business Analytics graduates.</w:t>
      </w:r>
    </w:p>
    <w:p>
      <w:pPr>
        <w:pStyle w:val="ListParagraph"/>
        <w:numPr>
          <w:ilvl w:val="0"/>
          <w:numId w:val="2"/>
        </w:numPr>
        <w:spacing w:after="80" w:before="40"/>
      </w:pPr>
      <w:r>
        <w:rPr>
          <w:rFonts w:ascii="Arial" w:cs="Arial" w:eastAsia="Arial" w:hAnsi="Arial"/>
          <w:b/>
          <w:bCs/>
          <w:color w:val="222222"/>
          <w:sz w:val="22"/>
          <w:szCs w:val="22"/>
        </w:rPr>
        <w:t xml:space="preserve">New immigration system: </w:t>
      </w:r>
      <w:r>
        <w:rPr>
          <w:rFonts w:ascii="Arial" w:cs="Arial" w:eastAsia="Arial" w:hAnsi="Arial"/>
          <w:sz w:val="22"/>
          <w:szCs w:val="22"/>
        </w:rPr>
        <w:t xml:space="preserve">The post-Brexit points-based immigration system, while opening routes for high-skilled workers from globally, has added complexity and cost to international hiring — affecting multinational firms that relied on EU talent pipelines.</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4.9 Factor 9: University Tuition Debt and Graduate Financial Pressure</w:t>
      </w:r>
    </w:p>
    <w:p>
      <w:pPr>
        <w:spacing w:after="120" w:before="60"/>
        <w:jc w:val="both"/>
      </w:pPr>
      <w:r>
        <w:rPr>
          <w:rFonts w:ascii="Arial" w:cs="Arial" w:eastAsia="Arial" w:hAnsi="Arial"/>
          <w:color w:val="222222"/>
          <w:sz w:val="22"/>
          <w:szCs w:val="22"/>
        </w:rPr>
        <w:t xml:space="preserve">The £9,000+ per year tuition fee structure means English graduates typically leave university with £40,000-£60,000 of student debt. This financial reality shapes behaviour in the labour market.</w:t>
      </w:r>
    </w:p>
    <w:p>
      <w:pPr>
        <w:pStyle w:val="ListParagraph"/>
        <w:numPr>
          <w:ilvl w:val="0"/>
          <w:numId w:val="2"/>
        </w:numPr>
        <w:spacing w:after="80" w:before="40"/>
      </w:pPr>
      <w:r>
        <w:rPr>
          <w:rFonts w:ascii="Arial" w:cs="Arial" w:eastAsia="Arial" w:hAnsi="Arial"/>
          <w:b/>
          <w:bCs/>
          <w:color w:val="222222"/>
          <w:sz w:val="22"/>
          <w:szCs w:val="22"/>
        </w:rPr>
        <w:t xml:space="preserve">Debt levels: </w:t>
      </w:r>
      <w:r>
        <w:rPr>
          <w:rFonts w:ascii="Arial" w:cs="Arial" w:eastAsia="Arial" w:hAnsi="Arial"/>
          <w:sz w:val="22"/>
          <w:szCs w:val="22"/>
        </w:rPr>
        <w:t xml:space="preserve">Average student loan debt on graduation reached £45,000 for English students completing a 3-year degree in 2025. The effective interest rate means this debt grows faster than most entry-level salaries can repay.</w:t>
      </w:r>
    </w:p>
    <w:p>
      <w:pPr>
        <w:pStyle w:val="ListParagraph"/>
        <w:numPr>
          <w:ilvl w:val="0"/>
          <w:numId w:val="2"/>
        </w:numPr>
        <w:spacing w:after="80" w:before="40"/>
      </w:pPr>
      <w:r>
        <w:rPr>
          <w:rFonts w:ascii="Arial" w:cs="Arial" w:eastAsia="Arial" w:hAnsi="Arial"/>
          <w:b/>
          <w:bCs/>
          <w:color w:val="222222"/>
          <w:sz w:val="22"/>
          <w:szCs w:val="22"/>
        </w:rPr>
        <w:t xml:space="preserve">Graduate salary expectations vs reality: </w:t>
      </w:r>
      <w:r>
        <w:rPr>
          <w:rFonts w:ascii="Arial" w:cs="Arial" w:eastAsia="Arial" w:hAnsi="Arial"/>
          <w:sz w:val="22"/>
          <w:szCs w:val="22"/>
        </w:rPr>
        <w:t xml:space="preserve">Graduates expect salaries commensurate with their debt. Average entry-level graduate salaries of £28,000-£35,000 feel deeply inadequate relative to the financial sacrifice made. This creates a mismatch in expectations that increases recruitment friction.</w:t>
      </w:r>
    </w:p>
    <w:p>
      <w:pPr>
        <w:pStyle w:val="ListParagraph"/>
        <w:numPr>
          <w:ilvl w:val="0"/>
          <w:numId w:val="2"/>
        </w:numPr>
        <w:spacing w:after="80" w:before="40"/>
      </w:pPr>
      <w:r>
        <w:rPr>
          <w:rFonts w:ascii="Arial" w:cs="Arial" w:eastAsia="Arial" w:hAnsi="Arial"/>
          <w:b/>
          <w:bCs/>
          <w:color w:val="222222"/>
          <w:sz w:val="22"/>
          <w:szCs w:val="22"/>
        </w:rPr>
        <w:t xml:space="preserve">London cost barrier: </w:t>
      </w:r>
      <w:r>
        <w:rPr>
          <w:rFonts w:ascii="Arial" w:cs="Arial" w:eastAsia="Arial" w:hAnsi="Arial"/>
          <w:sz w:val="22"/>
          <w:szCs w:val="22"/>
        </w:rPr>
        <w:t xml:space="preserve">London — where most graduate roles are — has average rents of £2,000+/month. A graduate earning £32,000 gross (£26,000 net) cannot afford London on entry-level pay without significant family support.</w:t>
      </w:r>
    </w:p>
    <w:p>
      <w:pPr>
        <w:pStyle w:val="ListParagraph"/>
        <w:numPr>
          <w:ilvl w:val="0"/>
          <w:numId w:val="2"/>
        </w:numPr>
        <w:spacing w:after="80" w:before="40"/>
      </w:pPr>
      <w:r>
        <w:rPr>
          <w:rFonts w:ascii="Arial" w:cs="Arial" w:eastAsia="Arial" w:hAnsi="Arial"/>
          <w:b/>
          <w:bCs/>
          <w:color w:val="222222"/>
          <w:sz w:val="22"/>
          <w:szCs w:val="22"/>
        </w:rPr>
        <w:t xml:space="preserve">Parental support advantage: </w:t>
      </w:r>
      <w:r>
        <w:rPr>
          <w:rFonts w:ascii="Arial" w:cs="Arial" w:eastAsia="Arial" w:hAnsi="Arial"/>
          <w:sz w:val="22"/>
          <w:szCs w:val="22"/>
        </w:rPr>
        <w:t xml:space="preserve">Graduates with family financial support can take unpaid internships, accept lower salaries, and afford London living — creating structural advantage for higher-income backgrounds.</w:t>
      </w:r>
    </w:p>
    <w:p>
      <w:pPr>
        <w:spacing w:after="100" w:before="100"/>
      </w:pPr>
      <w:r>
        <w:t xml:space="preserve"/>
      </w:r>
    </w:p>
    <w:p>
      <w:pPr>
        <w:pStyle w:val="Heading2"/>
        <w:spacing w:after="140" w:before="280"/>
      </w:pPr>
      <w:r>
        <w:rPr>
          <w:rFonts w:ascii="Arial" w:cs="Arial" w:eastAsia="Arial" w:hAnsi="Arial"/>
          <w:b/>
          <w:bCs/>
          <w:color w:val="1565C0"/>
          <w:sz w:val="28"/>
          <w:szCs w:val="28"/>
        </w:rPr>
        <w:t xml:space="preserve">4.10 Factor 10: Sector-Specific Dynamics</w:t>
      </w:r>
    </w:p>
    <w:p>
      <w:pPr>
        <w:spacing w:after="120" w:before="60"/>
        <w:jc w:val="both"/>
      </w:pPr>
      <w:r>
        <w:rPr>
          <w:rFonts w:ascii="Arial" w:cs="Arial" w:eastAsia="Arial" w:hAnsi="Arial"/>
          <w:color w:val="222222"/>
          <w:sz w:val="22"/>
          <w:szCs w:val="22"/>
        </w:rPr>
        <w:t xml:space="preserve">Not all sectors of the UK economy are recovering equally. The sectoral composition of hiring explains much of the graduate-specific disconnect.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00"/>
        <w:gridCol w:w="1680"/>
        <w:gridCol w:w="4000"/>
      </w:tblGrid>
      <w:tr>
        <w:tc>
          <w:tcPr>
            <w:tcW w:type="dxa" w:w="16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Sector</w:t>
            </w:r>
          </w:p>
        </w:tc>
        <w:tc>
          <w:tcPr>
            <w:tcW w:type="dxa" w:w="20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2025-26 Hiring Trend</w:t>
            </w:r>
          </w:p>
        </w:tc>
        <w:tc>
          <w:tcPr>
            <w:tcW w:type="dxa" w:w="16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Graduate Relevance</w:t>
            </w:r>
          </w:p>
        </w:tc>
        <w:tc>
          <w:tcPr>
            <w:tcW w:type="dxa" w:w="40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Key Driver</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Technology</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Strong recovery (+57% vacancies Jan 2025 vs Q4 2024)</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High (data, software, AI)</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AI investment, digital transformation</w:t>
            </w:r>
          </w:p>
        </w:tc>
      </w:tr>
      <w:tr>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Healthcare</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+4.9% medical jobs (BMA, Sep 2024)</w:t>
            </w:r>
          </w:p>
        </w:tc>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Moderate (health analytics)</w:t>
            </w:r>
          </w:p>
        </w:tc>
        <w:tc>
          <w:tcPr>
            <w:tcW w:type="dxa" w:w="4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Ageing population, NHS reform</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Finance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Cautious — slower than other professional sectors</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High (analyst, fintech roles)</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Basel III, rate normalisation</w:t>
            </w:r>
          </w:p>
        </w:tc>
      </w:tr>
      <w:tr>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Construction</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Resilient, skills shortage</w:t>
            </w:r>
          </w:p>
        </w:tc>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Low for graduates</w:t>
            </w:r>
          </w:p>
        </w:tc>
        <w:tc>
          <w:tcPr>
            <w:tcW w:type="dxa" w:w="4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Housebuilding programme</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Hospitality</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High vacancies, low wages</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Low for graduates</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Post-Brexit EU worker shortage</w:t>
            </w:r>
          </w:p>
        </w:tc>
      </w:tr>
      <w:tr>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Public Sector</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Recruitment freeze 2023-24, cautious expansion</w:t>
            </w:r>
          </w:p>
        </w:tc>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Moderate</w:t>
            </w:r>
          </w:p>
        </w:tc>
        <w:tc>
          <w:tcPr>
            <w:tcW w:type="dxa" w:w="4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Budget constraints, NI rise</w:t>
            </w:r>
          </w:p>
        </w:tc>
      </w:tr>
      <w:tr>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Renewable Energy</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Fast growing</w:t>
            </w:r>
          </w:p>
        </w:tc>
        <w:tc>
          <w:tcPr>
            <w:tcW w:type="dxa" w:w="1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High (engineering, analytics)</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Net Zero commitments</w:t>
            </w:r>
          </w:p>
        </w:tc>
      </w:tr>
      <w:tr>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Professional Services</w:t>
            </w:r>
          </w:p>
        </w:tc>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Flat to modest growth</w:t>
            </w:r>
          </w:p>
        </w:tc>
        <w:tc>
          <w:tcPr>
            <w:tcW w:type="dxa" w:w="1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High (consulting, BA roles)</w:t>
            </w:r>
          </w:p>
        </w:tc>
        <w:tc>
          <w:tcPr>
            <w:tcW w:type="dxa" w:w="4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Economic caution</w:t>
            </w:r>
          </w:p>
        </w:tc>
      </w:tr>
    </w:tbl>
    <w:p>
      <w:r>
        <w:br w:type="page"/>
      </w:r>
    </w:p>
    <w:p>
      <w:pPr>
        <w:pStyle w:val="Heading1"/>
        <w:spacing w:after="200" w:before="360"/>
      </w:pPr>
      <w:r>
        <w:rPr>
          <w:rFonts w:ascii="Arial" w:cs="Arial" w:eastAsia="Arial" w:hAnsi="Arial"/>
          <w:b/>
          <w:bCs/>
          <w:color w:val="0D1B2A"/>
          <w:sz w:val="36"/>
          <w:szCs w:val="36"/>
        </w:rPr>
        <w:t xml:space="preserve">5. The Economic Timeline: A Chronicle of Shocks</w:t>
      </w:r>
    </w:p>
    <w:p>
      <w:pPr>
        <w:pBdr>
          <w:bottom w:val="single" w:color="1565C0" w:sz="6" w:space="1"/>
        </w:pBdr>
        <w:spacing w:after="120" w:before="120"/>
      </w:pPr>
      <w:r>
        <w:t xml:space="preserve"/>
      </w:r>
    </w:p>
    <w:p>
      <w:pPr>
        <w:spacing w:after="120" w:before="60"/>
        <w:jc w:val="both"/>
      </w:pPr>
      <w:r>
        <w:rPr>
          <w:rFonts w:ascii="Arial" w:cs="Arial" w:eastAsia="Arial" w:hAnsi="Arial"/>
          <w:color w:val="222222"/>
          <w:sz w:val="22"/>
          <w:szCs w:val="22"/>
        </w:rPr>
        <w:t xml:space="preserve">The UK labour market from 2020 to 2026 can be understood as a series of overlapping shocks, each compounding the previous: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760"/>
        <w:gridCol w:w="1160"/>
      </w:tblGrid>
      <w:tr>
        <w:tc>
          <w:tcPr>
            <w:tcW w:type="dxa" w:w="144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Period</w:t>
            </w:r>
          </w:p>
        </w:tc>
        <w:tc>
          <w:tcPr>
            <w:tcW w:type="dxa" w:w="24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Economic Event</w:t>
            </w:r>
          </w:p>
        </w:tc>
        <w:tc>
          <w:tcPr>
            <w:tcW w:type="dxa" w:w="27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Labour Market Impact</w:t>
            </w:r>
          </w:p>
        </w:tc>
        <w:tc>
          <w:tcPr>
            <w:tcW w:type="dxa" w:w="11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Severity</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Q1-Q2 2020</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COVID-19 pandemic hits — GDP -19.8% in Q2</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Employment rate falls 2.2pp; vacancies -42%; 8.9m furloughed</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EXTREME</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Q3 2020-Q2 2021</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Furlough scheme masks true unemployment</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Unemployment held to 5.1% peak; 'zombie' employment</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SEVERE</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Q3 2021-Q2 2022</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Reopening boom — record vacancies 1.295m</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Skills mismatch exposed; labour shortages in manual sectors</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DISRUPTIVE</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Q3 2022-Q2 2023</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Inflation peaks at 11.1%; BoE rate rises to 5.25%</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Real wages fall; hiring freezes; vacancies begin 39-qtr decline</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SEVERE</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Q2-Q3 2023</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Technical recession (two quarters negative GDP)</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Business confidence collapses; graduate hiring cut first</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SEVERE</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2023-2024</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High rates persist; AI adoption accelerates</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Entry-level job displacement begins; ATS rejection intensifies</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SIGNIFICANT</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Apr 2025</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Employer NI rises to 15% — largest in modern history</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167,000 payrolled jobs lost by April; summer vacancies -31%</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SEVERE</w:t>
            </w:r>
          </w:p>
        </w:tc>
      </w:tr>
      <w:tr>
        <w:tc>
          <w:tcPr>
            <w:tcW w:type="dxa" w:w="144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2025-2026</w:t>
            </w:r>
          </w:p>
        </w:tc>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Rate cuts begin (to 3.75%); inflation stabilises ~2.8%</w:t>
            </w:r>
          </w:p>
        </w:tc>
        <w:tc>
          <w:tcPr>
            <w:tcW w:type="dxa" w:w="27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Cautious recovery begins; graduate market still depressed</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CAUTIOUS</w:t>
            </w:r>
          </w:p>
        </w:tc>
      </w:tr>
    </w:tbl>
    <w:p>
      <w:pPr>
        <w:spacing w:after="100" w:before="100"/>
      </w:pPr>
      <w:r>
        <w:t xml:space="preserve"/>
      </w:r>
    </w:p>
    <w:p>
      <w:pPr>
        <w:pStyle w:val="Heading1"/>
        <w:spacing w:after="200" w:before="360"/>
      </w:pPr>
      <w:r>
        <w:rPr>
          <w:rFonts w:ascii="Arial" w:cs="Arial" w:eastAsia="Arial" w:hAnsi="Arial"/>
          <w:b/>
          <w:bCs/>
          <w:color w:val="0D1B2A"/>
          <w:sz w:val="36"/>
          <w:szCs w:val="36"/>
        </w:rPr>
        <w:t xml:space="preserve">6. The Graduate Reality vs Employer Expectation Gap</w:t>
      </w:r>
    </w:p>
    <w:p>
      <w:pPr>
        <w:pBdr>
          <w:bottom w:val="single" w:color="1565C0" w:sz="6" w:space="1"/>
        </w:pBdr>
        <w:spacing w:after="120" w:before="120"/>
      </w:pPr>
      <w:r>
        <w:t xml:space="preserve"/>
      </w:r>
    </w:p>
    <w:p>
      <w:pPr>
        <w:spacing w:after="120" w:before="60"/>
        <w:jc w:val="both"/>
      </w:pPr>
      <w:r>
        <w:rPr>
          <w:rFonts w:ascii="Arial" w:cs="Arial" w:eastAsia="Arial" w:hAnsi="Arial"/>
          <w:color w:val="222222"/>
          <w:sz w:val="22"/>
          <w:szCs w:val="22"/>
        </w:rPr>
        <w:t xml:space="preserve">One of the most revealing aspects of this analysis is the divergence between how employers perceive the graduate labour market and what graduates actually experience. This gap is not simply a difference of opinion — it reflects genuinely different vantage points, each real from its own perspective.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Dimension</w:t>
            </w:r>
          </w:p>
        </w:tc>
        <w:tc>
          <w:tcPr>
            <w:tcW w:type="dxa" w:w="36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Employer Perspective</w:t>
            </w:r>
          </w:p>
        </w:tc>
        <w:tc>
          <w:tcPr>
            <w:tcW w:type="dxa" w:w="36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Graduate Perspective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Skills</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Graduates lack practical skills; CVs don't match role requirements</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University didn't teach SQL, Python or Power BI as core modules</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Experience</w:t>
            </w:r>
          </w:p>
        </w:tc>
        <w:tc>
          <w:tcPr>
            <w:tcW w:type="dxa" w:w="3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'We need someone who can hit the ground running'</w:t>
            </w:r>
          </w:p>
        </w:tc>
        <w:tc>
          <w:tcPr>
            <w:tcW w:type="dxa" w:w="3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'I can't get experience without a first job and can't get a job without experience'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Volume</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'We are overwhelmed with applications — quality is low'</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'I've sent 300 applications and received 4 responses'</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Speed</w:t>
            </w:r>
          </w:p>
        </w:tc>
        <w:tc>
          <w:tcPr>
            <w:tcW w:type="dxa" w:w="3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'Our hiring process is thorough and fair'</w:t>
            </w:r>
          </w:p>
        </w:tc>
        <w:tc>
          <w:tcPr>
            <w:tcW w:type="dxa" w:w="3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'I waited 6 months to be rejected after 4 interview rounds'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Salary</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'We pay competitive market rates for graduates'</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'£27,000 in London doesn't cover rent after tax'</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AI</w:t>
            </w:r>
          </w:p>
        </w:tc>
        <w:tc>
          <w:tcPr>
            <w:tcW w:type="dxa" w:w="3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'AI helps us screen for the right candidates efficiently'</w:t>
            </w:r>
          </w:p>
        </w:tc>
        <w:tc>
          <w:tcPr>
            <w:tcW w:type="dxa" w:w="3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'My CV was rejected by an algorithm before a human read it'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Diversity</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'We have strong D&amp;I commitments'</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'Black graduates are twice as likely to be unemployed after graduation'</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Geography</w:t>
            </w:r>
          </w:p>
        </w:tc>
        <w:tc>
          <w:tcPr>
            <w:tcW w:type="dxa" w:w="3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'We're a London-based firm — relocation is expected'</w:t>
            </w:r>
          </w:p>
        </w:tc>
        <w:tc>
          <w:tcPr>
            <w:tcW w:type="dxa" w:w="36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'I cannot afford to live in London on a graduate salary'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none" w:color="FFFFFF" w:sz="0"/>
              <w:bottom w:val="none" w:color="FFFFFF" w:sz="0"/>
              <w:right w:val="none" w:color="FFFFFF" w:sz="0"/>
            </w:tcBorders>
            <w:shd w:fill="FFF8E1"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ANALYTICAL CONCLUSION</w:t>
            </w:r>
          </w:p>
          <w:p>
            <w:pPr>
              <w:spacing w:after="0" w:before="0"/>
              <w:jc w:val="both"/>
            </w:pPr>
            <w:r>
              <w:rPr>
                <w:rFonts w:ascii="Arial" w:cs="Arial" w:eastAsia="Arial" w:hAnsi="Arial"/>
                <w:color w:val="0D1B2A"/>
                <w:sz w:val="21"/>
                <w:szCs w:val="21"/>
              </w:rPr>
              <w:t xml:space="preserve">Both sides are telling the truth. Employers ARE receiving low-quality applications because the volume of applications forces graduates to apply scattershot rather than targeting. Graduates ARE working incredibly hard but are losing to AI filters before their effort is even seen. The system is failing both parties — but it is failing graduates far more severely.</w:t>
            </w:r>
          </w:p>
        </w:tc>
      </w:tr>
    </w:tbl>
    <w:p>
      <w:r>
        <w:br w:type="page"/>
      </w:r>
    </w:p>
    <w:p>
      <w:pPr>
        <w:pStyle w:val="Heading1"/>
        <w:spacing w:after="200" w:before="360"/>
      </w:pPr>
      <w:r>
        <w:rPr>
          <w:rFonts w:ascii="Arial" w:cs="Arial" w:eastAsia="Arial" w:hAnsi="Arial"/>
          <w:b/>
          <w:bCs/>
          <w:color w:val="0D1B2A"/>
          <w:sz w:val="36"/>
          <w:szCs w:val="36"/>
        </w:rPr>
        <w:t xml:space="preserve">7. Sector-by-Sector Analysis for Graduates</w:t>
      </w:r>
    </w:p>
    <w:p>
      <w:pPr>
        <w:pBdr>
          <w:bottom w:val="single" w:color="1565C0" w:sz="6" w:space="1"/>
        </w:pBdr>
        <w:spacing w:after="120" w:before="120"/>
      </w:pPr>
      <w:r>
        <w:t xml:space="preserve"/>
      </w:r>
    </w:p>
    <w:p>
      <w:pPr>
        <w:pStyle w:val="Heading2"/>
        <w:spacing w:after="140" w:before="280"/>
      </w:pPr>
      <w:r>
        <w:rPr>
          <w:rFonts w:ascii="Arial" w:cs="Arial" w:eastAsia="Arial" w:hAnsi="Arial"/>
          <w:b/>
          <w:bCs/>
          <w:color w:val="1565C0"/>
          <w:sz w:val="28"/>
          <w:szCs w:val="28"/>
        </w:rPr>
        <w:t xml:space="preserve">7.1 Data &amp; Business Analytics</w:t>
      </w:r>
    </w:p>
    <w:p>
      <w:pPr>
        <w:spacing w:after="120" w:before="60"/>
        <w:jc w:val="both"/>
      </w:pPr>
      <w:r>
        <w:rPr>
          <w:rFonts w:ascii="Arial" w:cs="Arial" w:eastAsia="Arial" w:hAnsi="Arial"/>
          <w:color w:val="222222"/>
          <w:sz w:val="22"/>
          <w:szCs w:val="22"/>
        </w:rPr>
        <w:t xml:space="preserve">The highest-demand graduate specialism. SQL, Python, Excel and data visualisation (Power BI, Tableau) dominate job specifications. Demand is driven by digital transformation, regulatory reporting and AI implementation across all sectors.</w:t>
      </w:r>
    </w:p>
    <w:p>
      <w:pPr>
        <w:pStyle w:val="ListParagraph"/>
        <w:numPr>
          <w:ilvl w:val="0"/>
          <w:numId w:val="2"/>
        </w:numPr>
        <w:spacing w:after="80" w:before="40"/>
      </w:pPr>
      <w:r>
        <w:rPr>
          <w:rFonts w:ascii="Arial" w:cs="Arial" w:eastAsia="Arial" w:hAnsi="Arial"/>
          <w:sz w:val="22"/>
          <w:szCs w:val="22"/>
        </w:rPr>
        <w:t xml:space="preserve">Median graduate salary: £32,000-£40,000 (London: £37,000-£44,000)</w:t>
      </w:r>
    </w:p>
    <w:p>
      <w:pPr>
        <w:pStyle w:val="ListParagraph"/>
        <w:numPr>
          <w:ilvl w:val="0"/>
          <w:numId w:val="2"/>
        </w:numPr>
        <w:spacing w:after="80" w:before="40"/>
      </w:pPr>
      <w:r>
        <w:rPr>
          <w:rFonts w:ascii="Arial" w:cs="Arial" w:eastAsia="Arial" w:hAnsi="Arial"/>
          <w:sz w:val="22"/>
          <w:szCs w:val="22"/>
        </w:rPr>
        <w:t xml:space="preserve">Key employers: KPMG, Deloitte, PwC, NHS, Lloyds Banking Group, BT, Experian, retail analytics teams</w:t>
      </w:r>
    </w:p>
    <w:p>
      <w:pPr>
        <w:pStyle w:val="ListParagraph"/>
        <w:numPr>
          <w:ilvl w:val="0"/>
          <w:numId w:val="2"/>
        </w:numPr>
        <w:spacing w:after="80" w:before="40"/>
      </w:pPr>
      <w:r>
        <w:rPr>
          <w:rFonts w:ascii="Arial" w:cs="Arial" w:eastAsia="Arial" w:hAnsi="Arial"/>
          <w:sz w:val="22"/>
          <w:szCs w:val="22"/>
        </w:rPr>
        <w:t xml:space="preserve">Key growth: AI/ML analytics roles growing fastest; traditional 'reporting analyst' roles being partially automated</w:t>
      </w:r>
    </w:p>
    <w:p>
      <w:pPr>
        <w:pStyle w:val="ListParagraph"/>
        <w:numPr>
          <w:ilvl w:val="0"/>
          <w:numId w:val="2"/>
        </w:numPr>
        <w:spacing w:after="80" w:before="40"/>
      </w:pPr>
      <w:r>
        <w:rPr>
          <w:rFonts w:ascii="Arial" w:cs="Arial" w:eastAsia="Arial" w:hAnsi="Arial"/>
          <w:sz w:val="22"/>
          <w:szCs w:val="22"/>
        </w:rPr>
        <w:t xml:space="preserve">Graduate challenge: Requires demonstrable tool proficiency that goes beyond academic qualifications</w:t>
      </w:r>
    </w:p>
    <w:p>
      <w:pPr>
        <w:pStyle w:val="Heading2"/>
        <w:spacing w:after="140" w:before="280"/>
      </w:pPr>
      <w:r>
        <w:rPr>
          <w:rFonts w:ascii="Arial" w:cs="Arial" w:eastAsia="Arial" w:hAnsi="Arial"/>
          <w:b/>
          <w:bCs/>
          <w:color w:val="1565C0"/>
          <w:sz w:val="28"/>
          <w:szCs w:val="28"/>
        </w:rPr>
        <w:t xml:space="preserve">7.2 Finance and Investment Banking</w:t>
      </w:r>
    </w:p>
    <w:p>
      <w:pPr>
        <w:spacing w:after="120" w:before="60"/>
        <w:jc w:val="both"/>
      </w:pPr>
      <w:r>
        <w:rPr>
          <w:rFonts w:ascii="Arial" w:cs="Arial" w:eastAsia="Arial" w:hAnsi="Arial"/>
          <w:color w:val="222222"/>
          <w:sz w:val="22"/>
          <w:szCs w:val="22"/>
        </w:rPr>
        <w:t xml:space="preserve">Graduate schemes at major banks (Goldman Sachs, Morgan Stanley, Barclays, HSBC) remain the most competitive with ratios of 150-300 applicants per place. Starting salaries are highest in this sector (£45,000-£60,000 at investment banks) but volume of available roles is limited.</w:t>
      </w:r>
    </w:p>
    <w:p>
      <w:pPr>
        <w:pStyle w:val="ListParagraph"/>
        <w:numPr>
          <w:ilvl w:val="0"/>
          <w:numId w:val="2"/>
        </w:numPr>
        <w:spacing w:after="80" w:before="40"/>
      </w:pPr>
      <w:r>
        <w:rPr>
          <w:rFonts w:ascii="Arial" w:cs="Arial" w:eastAsia="Arial" w:hAnsi="Arial"/>
          <w:sz w:val="22"/>
          <w:szCs w:val="22"/>
        </w:rPr>
        <w:t xml:space="preserve">Applications per role: 150-300 (investment banking); 40-80 (retail banking)</w:t>
      </w:r>
    </w:p>
    <w:p>
      <w:pPr>
        <w:pStyle w:val="ListParagraph"/>
        <w:numPr>
          <w:ilvl w:val="0"/>
          <w:numId w:val="2"/>
        </w:numPr>
        <w:spacing w:after="80" w:before="40"/>
      </w:pPr>
      <w:r>
        <w:rPr>
          <w:rFonts w:ascii="Arial" w:cs="Arial" w:eastAsia="Arial" w:hAnsi="Arial"/>
          <w:sz w:val="22"/>
          <w:szCs w:val="22"/>
        </w:rPr>
        <w:t xml:space="preserve">Skills most demanded: Excel/financial modelling, SQL, Python, communication, commercial awareness</w:t>
      </w:r>
    </w:p>
    <w:p>
      <w:pPr>
        <w:pStyle w:val="ListParagraph"/>
        <w:numPr>
          <w:ilvl w:val="0"/>
          <w:numId w:val="2"/>
        </w:numPr>
        <w:spacing w:after="80" w:before="40"/>
      </w:pPr>
      <w:r>
        <w:rPr>
          <w:rFonts w:ascii="Arial" w:cs="Arial" w:eastAsia="Arial" w:hAnsi="Arial"/>
          <w:sz w:val="22"/>
          <w:szCs w:val="22"/>
        </w:rPr>
        <w:t xml:space="preserve">Key trend: Fintech firms now offer comparable salaries to traditional banks with faster progression</w:t>
      </w:r>
    </w:p>
    <w:p>
      <w:pPr>
        <w:pStyle w:val="Heading2"/>
        <w:spacing w:after="140" w:before="280"/>
      </w:pPr>
      <w:r>
        <w:rPr>
          <w:rFonts w:ascii="Arial" w:cs="Arial" w:eastAsia="Arial" w:hAnsi="Arial"/>
          <w:b/>
          <w:bCs/>
          <w:color w:val="1565C0"/>
          <w:sz w:val="28"/>
          <w:szCs w:val="28"/>
        </w:rPr>
        <w:t xml:space="preserve">7.3 Technology</w:t>
      </w:r>
    </w:p>
    <w:p>
      <w:pPr>
        <w:spacing w:after="120" w:before="60"/>
        <w:jc w:val="both"/>
      </w:pPr>
      <w:r>
        <w:rPr>
          <w:rFonts w:ascii="Arial" w:cs="Arial" w:eastAsia="Arial" w:hAnsi="Arial"/>
          <w:color w:val="222222"/>
          <w:sz w:val="22"/>
          <w:szCs w:val="22"/>
        </w:rPr>
        <w:t xml:space="preserve">UK tech hiring saw a 57% increase in average monthly vacancies in January 2025 vs Q4 2024, following the 2023 layoff cycle. AI, cloud computing, cybersecurity and software engineering are the growth areas. Non-technical graduates compete for product, project and analytics roles.</w:t>
      </w:r>
    </w:p>
    <w:p>
      <w:pPr>
        <w:pStyle w:val="ListParagraph"/>
        <w:numPr>
          <w:ilvl w:val="0"/>
          <w:numId w:val="2"/>
        </w:numPr>
        <w:spacing w:after="80" w:before="40"/>
      </w:pPr>
      <w:r>
        <w:rPr>
          <w:rFonts w:ascii="Arial" w:cs="Arial" w:eastAsia="Arial" w:hAnsi="Arial"/>
          <w:sz w:val="22"/>
          <w:szCs w:val="22"/>
        </w:rPr>
        <w:t xml:space="preserve">Key in-demand roles: AI/ML engineer, data scientist, software developer, cybersecurity analyst, cloud architect</w:t>
      </w:r>
    </w:p>
    <w:p>
      <w:pPr>
        <w:pStyle w:val="ListParagraph"/>
        <w:numPr>
          <w:ilvl w:val="0"/>
          <w:numId w:val="2"/>
        </w:numPr>
        <w:spacing w:after="80" w:before="40"/>
      </w:pPr>
      <w:r>
        <w:rPr>
          <w:rFonts w:ascii="Arial" w:cs="Arial" w:eastAsia="Arial" w:hAnsi="Arial"/>
          <w:sz w:val="22"/>
          <w:szCs w:val="22"/>
        </w:rPr>
        <w:t xml:space="preserve">Starting salaries: £30,000-£50,000 depending on specialism and company size</w:t>
      </w:r>
    </w:p>
    <w:p>
      <w:pPr>
        <w:pStyle w:val="ListParagraph"/>
        <w:numPr>
          <w:ilvl w:val="0"/>
          <w:numId w:val="2"/>
        </w:numPr>
        <w:spacing w:after="80" w:before="40"/>
      </w:pPr>
      <w:r>
        <w:rPr>
          <w:rFonts w:ascii="Arial" w:cs="Arial" w:eastAsia="Arial" w:hAnsi="Arial"/>
          <w:sz w:val="22"/>
          <w:szCs w:val="22"/>
        </w:rPr>
        <w:t xml:space="preserve">Graduate competition: High — but AI-related skills sharply increase employability in this sector</w:t>
      </w:r>
    </w:p>
    <w:p>
      <w:pPr>
        <w:pStyle w:val="Heading2"/>
        <w:spacing w:after="140" w:before="280"/>
      </w:pPr>
      <w:r>
        <w:rPr>
          <w:rFonts w:ascii="Arial" w:cs="Arial" w:eastAsia="Arial" w:hAnsi="Arial"/>
          <w:b/>
          <w:bCs/>
          <w:color w:val="1565C0"/>
          <w:sz w:val="28"/>
          <w:szCs w:val="28"/>
        </w:rPr>
        <w:t xml:space="preserve">7.4 Management Consulting</w:t>
      </w:r>
    </w:p>
    <w:p>
      <w:pPr>
        <w:spacing w:after="120" w:before="60"/>
        <w:jc w:val="both"/>
      </w:pPr>
      <w:r>
        <w:rPr>
          <w:rFonts w:ascii="Arial" w:cs="Arial" w:eastAsia="Arial" w:hAnsi="Arial"/>
          <w:color w:val="222222"/>
          <w:sz w:val="22"/>
          <w:szCs w:val="22"/>
        </w:rPr>
        <w:t xml:space="preserve">McKinsey, BCG, Bain and the 'Big Four' (Deloitte, PwC, EY, KPMG) run well-defined graduate schemes. Entry is highly competitive with multi-stage assessment processes. The sector rewards academic achievement, problem-solving ability and communication.</w:t>
      </w:r>
    </w:p>
    <w:p>
      <w:pPr>
        <w:pStyle w:val="ListParagraph"/>
        <w:numPr>
          <w:ilvl w:val="0"/>
          <w:numId w:val="2"/>
        </w:numPr>
        <w:spacing w:after="80" w:before="40"/>
      </w:pPr>
      <w:r>
        <w:rPr>
          <w:rFonts w:ascii="Arial" w:cs="Arial" w:eastAsia="Arial" w:hAnsi="Arial"/>
          <w:sz w:val="22"/>
          <w:szCs w:val="22"/>
        </w:rPr>
        <w:t xml:space="preserve">Average applications per place: 100-250</w:t>
      </w:r>
    </w:p>
    <w:p>
      <w:pPr>
        <w:pStyle w:val="ListParagraph"/>
        <w:numPr>
          <w:ilvl w:val="0"/>
          <w:numId w:val="2"/>
        </w:numPr>
        <w:spacing w:after="80" w:before="40"/>
      </w:pPr>
      <w:r>
        <w:rPr>
          <w:rFonts w:ascii="Arial" w:cs="Arial" w:eastAsia="Arial" w:hAnsi="Arial"/>
          <w:sz w:val="22"/>
          <w:szCs w:val="22"/>
        </w:rPr>
        <w:t xml:space="preserve">Key competencies: Case study interviews, analytical thinking, data interpretation, structured communication</w:t>
      </w:r>
    </w:p>
    <w:p>
      <w:pPr>
        <w:pStyle w:val="ListParagraph"/>
        <w:numPr>
          <w:ilvl w:val="0"/>
          <w:numId w:val="2"/>
        </w:numPr>
        <w:spacing w:after="80" w:before="40"/>
      </w:pPr>
      <w:r>
        <w:rPr>
          <w:rFonts w:ascii="Arial" w:cs="Arial" w:eastAsia="Arial" w:hAnsi="Arial"/>
          <w:sz w:val="22"/>
          <w:szCs w:val="22"/>
        </w:rPr>
        <w:t xml:space="preserve">Graduate salary: £35,000-£50,000 at MBB/Big Four firms</w:t>
      </w:r>
    </w:p>
    <w:p>
      <w:pPr>
        <w:pStyle w:val="Heading2"/>
        <w:spacing w:after="140" w:before="280"/>
      </w:pPr>
      <w:r>
        <w:rPr>
          <w:rFonts w:ascii="Arial" w:cs="Arial" w:eastAsia="Arial" w:hAnsi="Arial"/>
          <w:b/>
          <w:bCs/>
          <w:color w:val="1565C0"/>
          <w:sz w:val="28"/>
          <w:szCs w:val="28"/>
        </w:rPr>
        <w:t xml:space="preserve">7.5 Healthcare and Life Sciences</w:t>
      </w:r>
    </w:p>
    <w:p>
      <w:pPr>
        <w:spacing w:after="120" w:before="60"/>
        <w:jc w:val="both"/>
      </w:pPr>
      <w:r>
        <w:rPr>
          <w:rFonts w:ascii="Arial" w:cs="Arial" w:eastAsia="Arial" w:hAnsi="Arial"/>
          <w:color w:val="222222"/>
          <w:sz w:val="22"/>
          <w:szCs w:val="22"/>
        </w:rPr>
        <w:t xml:space="preserve">NHS digital, health data analytics and pharmaceutical analytics roles represent growing graduate opportunities. The UK's ageing population and NHS modernisation agenda are creating sustained demand for graduates who can bridge data science and health.</w:t>
      </w:r>
    </w:p>
    <w:p>
      <w:pPr>
        <w:pStyle w:val="ListParagraph"/>
        <w:numPr>
          <w:ilvl w:val="0"/>
          <w:numId w:val="2"/>
        </w:numPr>
        <w:spacing w:after="80" w:before="40"/>
      </w:pPr>
      <w:r>
        <w:rPr>
          <w:rFonts w:ascii="Arial" w:cs="Arial" w:eastAsia="Arial" w:hAnsi="Arial"/>
          <w:sz w:val="22"/>
          <w:szCs w:val="22"/>
        </w:rPr>
        <w:t xml:space="preserve">Key growth areas: NHS data analytics, clinical trial analysis, health technology, genomics</w:t>
      </w:r>
    </w:p>
    <w:p>
      <w:pPr>
        <w:pStyle w:val="ListParagraph"/>
        <w:numPr>
          <w:ilvl w:val="0"/>
          <w:numId w:val="2"/>
        </w:numPr>
        <w:spacing w:after="80" w:before="40"/>
      </w:pPr>
      <w:r>
        <w:rPr>
          <w:rFonts w:ascii="Arial" w:cs="Arial" w:eastAsia="Arial" w:hAnsi="Arial"/>
          <w:sz w:val="22"/>
          <w:szCs w:val="22"/>
        </w:rPr>
        <w:t xml:space="preserve">Graduate salary: £27,000-£38,000 (NHS Agenda for Change bands)</w:t>
      </w:r>
    </w:p>
    <w:p>
      <w:r>
        <w:br w:type="page"/>
      </w:r>
    </w:p>
    <w:p>
      <w:pPr>
        <w:pStyle w:val="Heading1"/>
        <w:spacing w:after="200" w:before="360"/>
      </w:pPr>
      <w:r>
        <w:rPr>
          <w:rFonts w:ascii="Arial" w:cs="Arial" w:eastAsia="Arial" w:hAnsi="Arial"/>
          <w:b/>
          <w:bCs/>
          <w:color w:val="0D1B2A"/>
          <w:sz w:val="36"/>
          <w:szCs w:val="36"/>
        </w:rPr>
        <w:t xml:space="preserve">8. Forecast and Outlook 2026-2030</w:t>
      </w:r>
    </w:p>
    <w:p>
      <w:pPr>
        <w:pBdr>
          <w:bottom w:val="single" w:color="1565C0" w:sz="6" w:space="1"/>
        </w:pBdr>
        <w:spacing w:after="120" w:before="120"/>
      </w:pPr>
      <w:r>
        <w:t xml:space="preserve"/>
      </w:r>
    </w:p>
    <w:p>
      <w:pPr>
        <w:spacing w:after="120" w:before="60"/>
        <w:jc w:val="both"/>
      </w:pPr>
      <w:r>
        <w:rPr>
          <w:rFonts w:ascii="Arial" w:cs="Arial" w:eastAsia="Arial" w:hAnsi="Arial"/>
          <w:color w:val="222222"/>
          <w:sz w:val="22"/>
          <w:szCs w:val="22"/>
        </w:rPr>
        <w:t xml:space="preserve">Based on analysis of interest rate trajectories, GDP forecasts, vacancy trends, demographic factors and the structural changes driven by AI, this section presents a forward-looking outlook for the UK graduate job market.</w:t>
      </w:r>
    </w:p>
    <w:p>
      <w:pPr>
        <w:spacing w:after="80" w:before="80"/>
      </w:pPr>
      <w:r>
        <w:t xml:space="preserve"/>
      </w:r>
    </w:p>
    <w:p>
      <w:pPr>
        <w:pStyle w:val="Heading2"/>
        <w:spacing w:after="140" w:before="280"/>
      </w:pPr>
      <w:r>
        <w:rPr>
          <w:rFonts w:ascii="Arial" w:cs="Arial" w:eastAsia="Arial" w:hAnsi="Arial"/>
          <w:b/>
          <w:bCs/>
          <w:color w:val="1565C0"/>
          <w:sz w:val="28"/>
          <w:szCs w:val="28"/>
        </w:rPr>
        <w:t xml:space="preserve">8.1 Key Drivers to Watch</w:t>
      </w:r>
    </w:p>
    <w:p>
      <w:pPr>
        <w:pStyle w:val="ListParagraph"/>
        <w:numPr>
          <w:ilvl w:val="0"/>
          <w:numId w:val="2"/>
        </w:numPr>
        <w:spacing w:after="80" w:before="40"/>
      </w:pPr>
      <w:r>
        <w:rPr>
          <w:rFonts w:ascii="Arial" w:cs="Arial" w:eastAsia="Arial" w:hAnsi="Arial"/>
          <w:b/>
          <w:bCs/>
          <w:color w:val="222222"/>
          <w:sz w:val="22"/>
          <w:szCs w:val="22"/>
        </w:rPr>
        <w:t xml:space="preserve">Interest rate cuts: </w:t>
      </w:r>
      <w:r>
        <w:rPr>
          <w:rFonts w:ascii="Arial" w:cs="Arial" w:eastAsia="Arial" w:hAnsi="Arial"/>
          <w:sz w:val="22"/>
          <w:szCs w:val="22"/>
        </w:rPr>
        <w:t xml:space="preserve">The BoE base rate at 3.75% (June 2026) is above the estimated neutral rate of 2.5-3.0%. Further cuts are expected if inflation continues toward target. Each 0.25pp cut historically adds approximately 15,000-25,000 vacancies with a 6-month lag.</w:t>
      </w:r>
    </w:p>
    <w:p>
      <w:pPr>
        <w:pStyle w:val="ListParagraph"/>
        <w:numPr>
          <w:ilvl w:val="0"/>
          <w:numId w:val="2"/>
        </w:numPr>
        <w:spacing w:after="80" w:before="40"/>
      </w:pPr>
      <w:r>
        <w:rPr>
          <w:rFonts w:ascii="Arial" w:cs="Arial" w:eastAsia="Arial" w:hAnsi="Arial"/>
          <w:b/>
          <w:bCs/>
          <w:color w:val="222222"/>
          <w:sz w:val="22"/>
          <w:szCs w:val="22"/>
        </w:rPr>
        <w:t xml:space="preserve">AI maturity: </w:t>
      </w:r>
      <w:r>
        <w:rPr>
          <w:rFonts w:ascii="Arial" w:cs="Arial" w:eastAsia="Arial" w:hAnsi="Arial"/>
          <w:sz w:val="22"/>
          <w:szCs w:val="22"/>
        </w:rPr>
        <w:t xml:space="preserve">The next 2-3 years will determine whether AI displaces entry-level roles net or creates new roles faster than it eliminates them. Current evidence is mixed — but the near-term impact appears negative for pure cognitive tasks graduates were trained to perform.</w:t>
      </w:r>
    </w:p>
    <w:p>
      <w:pPr>
        <w:pStyle w:val="ListParagraph"/>
        <w:numPr>
          <w:ilvl w:val="0"/>
          <w:numId w:val="2"/>
        </w:numPr>
        <w:spacing w:after="80" w:before="40"/>
      </w:pPr>
      <w:r>
        <w:rPr>
          <w:rFonts w:ascii="Arial" w:cs="Arial" w:eastAsia="Arial" w:hAnsi="Arial"/>
          <w:b/>
          <w:bCs/>
          <w:color w:val="222222"/>
          <w:sz w:val="22"/>
          <w:szCs w:val="22"/>
        </w:rPr>
        <w:t xml:space="preserve">GDP growth: </w:t>
      </w:r>
      <w:r>
        <w:rPr>
          <w:rFonts w:ascii="Arial" w:cs="Arial" w:eastAsia="Arial" w:hAnsi="Arial"/>
          <w:sz w:val="22"/>
          <w:szCs w:val="22"/>
        </w:rPr>
        <w:t xml:space="preserve">Forecast 0.7% GDP growth in 2026 rising to 1.2-1.5% in 2027-2028 (OBR/KPMG) — below the pre-pandemic trend. This limits the headroom for employment expansion.</w:t>
      </w:r>
    </w:p>
    <w:p>
      <w:pPr>
        <w:pStyle w:val="ListParagraph"/>
        <w:numPr>
          <w:ilvl w:val="0"/>
          <w:numId w:val="2"/>
        </w:numPr>
        <w:spacing w:after="80" w:before="40"/>
      </w:pPr>
      <w:r>
        <w:rPr>
          <w:rFonts w:ascii="Arial" w:cs="Arial" w:eastAsia="Arial" w:hAnsi="Arial"/>
          <w:b/>
          <w:bCs/>
          <w:color w:val="222222"/>
          <w:sz w:val="22"/>
          <w:szCs w:val="22"/>
        </w:rPr>
        <w:t xml:space="preserve">NI impact absorption: </w:t>
      </w:r>
      <w:r>
        <w:rPr>
          <w:rFonts w:ascii="Arial" w:cs="Arial" w:eastAsia="Arial" w:hAnsi="Arial"/>
          <w:sz w:val="22"/>
          <w:szCs w:val="22"/>
        </w:rPr>
        <w:t xml:space="preserve">The April 2025 NI increase is a permanent cost increase. Employers will not reverse it but will adapt over 12-24 months. Some hiring will return as margins recover; some will be permanently replaced by automation.</w:t>
      </w:r>
    </w:p>
    <w:p>
      <w:pPr>
        <w:pStyle w:val="ListParagraph"/>
        <w:numPr>
          <w:ilvl w:val="0"/>
          <w:numId w:val="2"/>
        </w:numPr>
        <w:spacing w:after="80" w:before="40"/>
      </w:pPr>
      <w:r>
        <w:rPr>
          <w:rFonts w:ascii="Arial" w:cs="Arial" w:eastAsia="Arial" w:hAnsi="Arial"/>
          <w:b/>
          <w:bCs/>
          <w:color w:val="222222"/>
          <w:sz w:val="22"/>
          <w:szCs w:val="22"/>
        </w:rPr>
        <w:t xml:space="preserve">Youth Guarantee spending: </w:t>
      </w:r>
      <w:r>
        <w:rPr>
          <w:rFonts w:ascii="Arial" w:cs="Arial" w:eastAsia="Arial" w:hAnsi="Arial"/>
          <w:sz w:val="22"/>
          <w:szCs w:val="22"/>
        </w:rPr>
        <w:t xml:space="preserve">The £820 million Youth Guarantee announced in the Autumn Budget 2025 represents a significant investment in NEET-reduction programmes. If effectively implemented, this could reduce youth inactivity by 100,000-200,000 by 2028.</w:t>
      </w:r>
    </w:p>
    <w:p>
      <w:pPr>
        <w:spacing w:after="80" w:before="80"/>
      </w:pPr>
      <w:r>
        <w:t xml:space="preserve"/>
      </w:r>
    </w:p>
    <w:p>
      <w:pPr>
        <w:pStyle w:val="Heading2"/>
        <w:spacing w:after="140" w:before="280"/>
      </w:pPr>
      <w:r>
        <w:rPr>
          <w:rFonts w:ascii="Arial" w:cs="Arial" w:eastAsia="Arial" w:hAnsi="Arial"/>
          <w:b/>
          <w:bCs/>
          <w:color w:val="1565C0"/>
          <w:sz w:val="28"/>
          <w:szCs w:val="28"/>
        </w:rPr>
        <w:t xml:space="preserve">8.2 Three Scenarios for 2030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80"/>
        <w:gridCol w:w="1780"/>
        <w:gridCol w:w="2000"/>
      </w:tblGrid>
      <w:tr>
        <w:tc>
          <w:tcPr>
            <w:tcW w:type="dxa" w:w="22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Pessimistic (2030)</w:t>
            </w:r>
          </w:p>
        </w:tc>
        <w:tc>
          <w:tcPr>
            <w:tcW w:type="dxa" w:w="17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Base Case (2030)</w:t>
            </w:r>
          </w:p>
        </w:tc>
        <w:tc>
          <w:tcPr>
            <w:tcW w:type="dxa" w:w="178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Optimistic (2030)</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Total vacancies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850,000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1,128,000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1,300,000</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Employment rate (16-64)</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75.5%</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77.3%</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78.5%</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Average grad starting salary</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£31,000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£38,200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£44,000</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NEET rate (16-24)</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14.5%</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10.5%</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8.0%</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Applications per grad vacancy</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180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90</w:t>
            </w:r>
          </w:p>
        </w:tc>
        <w:tc>
          <w:tcPr>
            <w:tcW w:type="dxa" w:w="17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60</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Key scenario driver</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AI displacement &gt; new role creation; NI unchanged; weak GDP</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AI creates net new roles; gradual rate cuts; steady GDP</w:t>
            </w:r>
          </w:p>
        </w:tc>
        <w:tc>
          <w:tcPr>
            <w:tcW w:type="dxa" w:w="17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Tech boom; AI literacy gaps closed; Northern levelling up works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none" w:color="FFFFFF" w:sz="0"/>
              <w:bottom w:val="none" w:color="FFFFFF" w:sz="0"/>
              <w:right w:val="none" w:color="FFFFFF" w:sz="0"/>
            </w:tcBorders>
            <w:shd w:fill="D5EED7" w:val="clear"/>
            <w:tcMar>
              <w:top w:type="dxa" w:w="100"/>
              <w:left w:type="dxa" w:w="140"/>
              <w:bottom w:type="dxa" w:w="100"/>
              <w:right w:type="dxa" w:w="140"/>
            </w:tcMar>
          </w:tcPr>
          <w:p>
            <w:pPr>
              <w:spacing w:after="0" w:before="0"/>
              <w:jc w:val="both"/>
            </w:pPr>
            <w:r>
              <w:rPr>
                <w:rFonts w:ascii="Arial" w:cs="Arial" w:eastAsia="Arial" w:hAnsi="Arial"/>
                <w:color w:val="0D1B2A"/>
                <w:sz w:val="21"/>
                <w:szCs w:val="21"/>
              </w:rPr>
              <w:t xml:space="preserve">The base case projection is cautiously optimistic: the UK graduate market returns to something approaching its pre-pandemic trajectory by 2028-2030, but the structural problems of geographic concentration, skills mismatch and experience gatekeeping remain unless actively addressed by policy and employer behaviour change.</w:t>
            </w:r>
          </w:p>
        </w:tc>
      </w:tr>
    </w:tbl>
    <w:p>
      <w:r>
        <w:br w:type="page"/>
      </w:r>
    </w:p>
    <w:p>
      <w:pPr>
        <w:pStyle w:val="Heading1"/>
        <w:spacing w:after="200" w:before="360"/>
      </w:pPr>
      <w:r>
        <w:rPr>
          <w:rFonts w:ascii="Arial" w:cs="Arial" w:eastAsia="Arial" w:hAnsi="Arial"/>
          <w:b/>
          <w:bCs/>
          <w:color w:val="0D1B2A"/>
          <w:sz w:val="36"/>
          <w:szCs w:val="36"/>
        </w:rPr>
        <w:t xml:space="preserve">9. Recommendations</w:t>
      </w:r>
    </w:p>
    <w:p>
      <w:pPr>
        <w:pBdr>
          <w:bottom w:val="single" w:color="1565C0" w:sz="6" w:space="1"/>
        </w:pBdr>
        <w:spacing w:after="120" w:before="120"/>
      </w:pPr>
      <w:r>
        <w:t xml:space="preserve"/>
      </w:r>
    </w:p>
    <w:p>
      <w:pPr>
        <w:pStyle w:val="Heading2"/>
        <w:spacing w:after="140" w:before="280"/>
      </w:pPr>
      <w:r>
        <w:rPr>
          <w:rFonts w:ascii="Arial" w:cs="Arial" w:eastAsia="Arial" w:hAnsi="Arial"/>
          <w:b/>
          <w:bCs/>
          <w:color w:val="1565C0"/>
          <w:sz w:val="28"/>
          <w:szCs w:val="28"/>
        </w:rPr>
        <w:t xml:space="preserve">9.1 For Graduates: Immediate Actions</w:t>
      </w:r>
    </w:p>
    <w:p>
      <w:pPr>
        <w:pStyle w:val="ListParagraph"/>
        <w:numPr>
          <w:ilvl w:val="0"/>
          <w:numId w:val="2"/>
        </w:numPr>
        <w:spacing w:after="80" w:before="40"/>
      </w:pPr>
      <w:r>
        <w:rPr>
          <w:rFonts w:ascii="Arial" w:cs="Arial" w:eastAsia="Arial" w:hAnsi="Arial"/>
          <w:b/>
          <w:bCs/>
          <w:color w:val="222222"/>
          <w:sz w:val="22"/>
          <w:szCs w:val="22"/>
        </w:rPr>
        <w:t xml:space="preserve">Build the technical portfolio: </w:t>
      </w:r>
      <w:r>
        <w:rPr>
          <w:rFonts w:ascii="Arial" w:cs="Arial" w:eastAsia="Arial" w:hAnsi="Arial"/>
          <w:sz w:val="22"/>
          <w:szCs w:val="22"/>
        </w:rPr>
        <w:t xml:space="preserve">SQL, Python and Excel are present in 70%+ of analyst postings. Certifications (Google Data Analytics, Microsoft Power BI, IBM Data Science) on a CV are now essential differentiators.</w:t>
      </w:r>
    </w:p>
    <w:p>
      <w:pPr>
        <w:pStyle w:val="ListParagraph"/>
        <w:numPr>
          <w:ilvl w:val="0"/>
          <w:numId w:val="2"/>
        </w:numPr>
        <w:spacing w:after="80" w:before="40"/>
      </w:pPr>
      <w:r>
        <w:rPr>
          <w:rFonts w:ascii="Arial" w:cs="Arial" w:eastAsia="Arial" w:hAnsi="Arial"/>
          <w:b/>
          <w:bCs/>
          <w:color w:val="222222"/>
          <w:sz w:val="22"/>
          <w:szCs w:val="22"/>
        </w:rPr>
        <w:t xml:space="preserve">Target the ATS: </w:t>
      </w:r>
      <w:r>
        <w:rPr>
          <w:rFonts w:ascii="Arial" w:cs="Arial" w:eastAsia="Arial" w:hAnsi="Arial"/>
          <w:sz w:val="22"/>
          <w:szCs w:val="22"/>
        </w:rPr>
        <w:t xml:space="preserve">Mirror the exact language of job descriptions in your CV. ATS systems match keywords — not synonyms. 'Data visualisation' and 'data visualization' may be treated as different terms.</w:t>
      </w:r>
    </w:p>
    <w:p>
      <w:pPr>
        <w:pStyle w:val="ListParagraph"/>
        <w:numPr>
          <w:ilvl w:val="0"/>
          <w:numId w:val="2"/>
        </w:numPr>
        <w:spacing w:after="80" w:before="40"/>
      </w:pPr>
      <w:r>
        <w:rPr>
          <w:rFonts w:ascii="Arial" w:cs="Arial" w:eastAsia="Arial" w:hAnsi="Arial"/>
          <w:b/>
          <w:bCs/>
          <w:color w:val="222222"/>
          <w:sz w:val="22"/>
          <w:szCs w:val="22"/>
        </w:rPr>
        <w:t xml:space="preserve">Go regional: </w:t>
      </w:r>
      <w:r>
        <w:rPr>
          <w:rFonts w:ascii="Arial" w:cs="Arial" w:eastAsia="Arial" w:hAnsi="Arial"/>
          <w:sz w:val="22"/>
          <w:szCs w:val="22"/>
        </w:rPr>
        <w:t xml:space="preserve">Birmingham, Manchester, Leeds and Edinburgh have growing analyst communities with significantly lower competition ratios than London. A graduate who can afford to work outside London has a structural advantage.</w:t>
      </w:r>
    </w:p>
    <w:p>
      <w:pPr>
        <w:pStyle w:val="ListParagraph"/>
        <w:numPr>
          <w:ilvl w:val="0"/>
          <w:numId w:val="2"/>
        </w:numPr>
        <w:spacing w:after="80" w:before="40"/>
      </w:pPr>
      <w:r>
        <w:rPr>
          <w:rFonts w:ascii="Arial" w:cs="Arial" w:eastAsia="Arial" w:hAnsi="Arial"/>
          <w:b/>
          <w:bCs/>
          <w:color w:val="222222"/>
          <w:sz w:val="22"/>
          <w:szCs w:val="22"/>
        </w:rPr>
        <w:t xml:space="preserve">Create public projects: </w:t>
      </w:r>
      <w:r>
        <w:rPr>
          <w:rFonts w:ascii="Arial" w:cs="Arial" w:eastAsia="Arial" w:hAnsi="Arial"/>
          <w:sz w:val="22"/>
          <w:szCs w:val="22"/>
        </w:rPr>
        <w:t xml:space="preserve">A GitHub repository, Tableau Public dashboard, or LinkedIn analysis post provides evidence of skills in a way CVs cannot. Recruiters increasingly search for demonstrated work before inviting candidates.</w:t>
      </w:r>
    </w:p>
    <w:p>
      <w:pPr>
        <w:pStyle w:val="ListParagraph"/>
        <w:numPr>
          <w:ilvl w:val="0"/>
          <w:numId w:val="2"/>
        </w:numPr>
        <w:spacing w:after="80" w:before="40"/>
      </w:pPr>
      <w:r>
        <w:rPr>
          <w:rFonts w:ascii="Arial" w:cs="Arial" w:eastAsia="Arial" w:hAnsi="Arial"/>
          <w:b/>
          <w:bCs/>
          <w:color w:val="222222"/>
          <w:sz w:val="22"/>
          <w:szCs w:val="22"/>
        </w:rPr>
        <w:t xml:space="preserve">Target SMEs alongside graduate schemes: </w:t>
      </w:r>
      <w:r>
        <w:rPr>
          <w:rFonts w:ascii="Arial" w:cs="Arial" w:eastAsia="Arial" w:hAnsi="Arial"/>
          <w:sz w:val="22"/>
          <w:szCs w:val="22"/>
        </w:rPr>
        <w:t xml:space="preserve">Large graduate schemes get 140 applications per role. Small and mid-size firms hiring analysts often receive 10-20 applications and provide faster progression.</w:t>
      </w:r>
    </w:p>
    <w:p>
      <w:pPr>
        <w:pStyle w:val="Heading2"/>
        <w:spacing w:after="140" w:before="280"/>
      </w:pPr>
      <w:r>
        <w:rPr>
          <w:rFonts w:ascii="Arial" w:cs="Arial" w:eastAsia="Arial" w:hAnsi="Arial"/>
          <w:b/>
          <w:bCs/>
          <w:color w:val="1565C0"/>
          <w:sz w:val="28"/>
          <w:szCs w:val="28"/>
        </w:rPr>
        <w:t xml:space="preserve">9.2 For Universities: Curriculum Reforms</w:t>
      </w:r>
    </w:p>
    <w:p>
      <w:pPr>
        <w:pStyle w:val="ListParagraph"/>
        <w:numPr>
          <w:ilvl w:val="0"/>
          <w:numId w:val="2"/>
        </w:numPr>
        <w:spacing w:after="80" w:before="40"/>
      </w:pPr>
      <w:r>
        <w:rPr>
          <w:rFonts w:ascii="Arial" w:cs="Arial" w:eastAsia="Arial" w:hAnsi="Arial"/>
          <w:sz w:val="22"/>
          <w:szCs w:val="22"/>
        </w:rPr>
        <w:t xml:space="preserve">Integrate SQL and Python as core modules in all Business, Economics and Management degrees.</w:t>
      </w:r>
    </w:p>
    <w:p>
      <w:pPr>
        <w:pStyle w:val="ListParagraph"/>
        <w:numPr>
          <w:ilvl w:val="0"/>
          <w:numId w:val="2"/>
        </w:numPr>
        <w:spacing w:after="80" w:before="40"/>
      </w:pPr>
      <w:r>
        <w:rPr>
          <w:rFonts w:ascii="Arial" w:cs="Arial" w:eastAsia="Arial" w:hAnsi="Arial"/>
          <w:sz w:val="22"/>
          <w:szCs w:val="22"/>
        </w:rPr>
        <w:t xml:space="preserve">Mandate work placement modules — even short 2-week placements eliminate the experience paradox for graduates.</w:t>
      </w:r>
    </w:p>
    <w:p>
      <w:pPr>
        <w:pStyle w:val="ListParagraph"/>
        <w:numPr>
          <w:ilvl w:val="0"/>
          <w:numId w:val="2"/>
        </w:numPr>
        <w:spacing w:after="80" w:before="40"/>
      </w:pPr>
      <w:r>
        <w:rPr>
          <w:rFonts w:ascii="Arial" w:cs="Arial" w:eastAsia="Arial" w:hAnsi="Arial"/>
          <w:sz w:val="22"/>
          <w:szCs w:val="22"/>
        </w:rPr>
        <w:t xml:space="preserve">Establish live-brief partnerships with local employers that produce portfolio-quality work products.</w:t>
      </w:r>
    </w:p>
    <w:p>
      <w:pPr>
        <w:pStyle w:val="ListParagraph"/>
        <w:numPr>
          <w:ilvl w:val="0"/>
          <w:numId w:val="2"/>
        </w:numPr>
        <w:spacing w:after="80" w:before="40"/>
      </w:pPr>
      <w:r>
        <w:rPr>
          <w:rFonts w:ascii="Arial" w:cs="Arial" w:eastAsia="Arial" w:hAnsi="Arial"/>
          <w:sz w:val="22"/>
          <w:szCs w:val="22"/>
        </w:rPr>
        <w:t xml:space="preserve">Introduce careers education in Year 1, not Year 3.</w:t>
      </w:r>
    </w:p>
    <w:p>
      <w:pPr>
        <w:pStyle w:val="Heading2"/>
        <w:spacing w:after="140" w:before="280"/>
      </w:pPr>
      <w:r>
        <w:rPr>
          <w:rFonts w:ascii="Arial" w:cs="Arial" w:eastAsia="Arial" w:hAnsi="Arial"/>
          <w:b/>
          <w:bCs/>
          <w:color w:val="1565C0"/>
          <w:sz w:val="28"/>
          <w:szCs w:val="28"/>
        </w:rPr>
        <w:t xml:space="preserve">9.3 For Employers: Structural Reforms</w:t>
      </w:r>
    </w:p>
    <w:p>
      <w:pPr>
        <w:pStyle w:val="ListParagraph"/>
        <w:numPr>
          <w:ilvl w:val="0"/>
          <w:numId w:val="2"/>
        </w:numPr>
        <w:spacing w:after="80" w:before="40"/>
      </w:pPr>
      <w:r>
        <w:rPr>
          <w:rFonts w:ascii="Arial" w:cs="Arial" w:eastAsia="Arial" w:hAnsi="Arial"/>
          <w:sz w:val="22"/>
          <w:szCs w:val="22"/>
        </w:rPr>
        <w:t xml:space="preserve">Remove 'experience required' from genuinely entry-level postings. This reduces the applicant pool to those who are actually new to the workforce.</w:t>
      </w:r>
    </w:p>
    <w:p>
      <w:pPr>
        <w:pStyle w:val="ListParagraph"/>
        <w:numPr>
          <w:ilvl w:val="0"/>
          <w:numId w:val="2"/>
        </w:numPr>
        <w:spacing w:after="80" w:before="40"/>
      </w:pPr>
      <w:r>
        <w:rPr>
          <w:rFonts w:ascii="Arial" w:cs="Arial" w:eastAsia="Arial" w:hAnsi="Arial"/>
          <w:sz w:val="22"/>
          <w:szCs w:val="22"/>
        </w:rPr>
        <w:t xml:space="preserve">Pay interns the National Living Wage minimum — unpaid internships create socioeconomic access barriers.</w:t>
      </w:r>
    </w:p>
    <w:p>
      <w:pPr>
        <w:pStyle w:val="ListParagraph"/>
        <w:numPr>
          <w:ilvl w:val="0"/>
          <w:numId w:val="2"/>
        </w:numPr>
        <w:spacing w:after="80" w:before="40"/>
      </w:pPr>
      <w:r>
        <w:rPr>
          <w:rFonts w:ascii="Arial" w:cs="Arial" w:eastAsia="Arial" w:hAnsi="Arial"/>
          <w:sz w:val="22"/>
          <w:szCs w:val="22"/>
        </w:rPr>
        <w:t xml:space="preserve">Add human review checkpoints to AI-screened recruitment pipelines to catch false positives.</w:t>
      </w:r>
    </w:p>
    <w:p>
      <w:pPr>
        <w:pStyle w:val="ListParagraph"/>
        <w:numPr>
          <w:ilvl w:val="0"/>
          <w:numId w:val="2"/>
        </w:numPr>
        <w:spacing w:after="80" w:before="40"/>
      </w:pPr>
      <w:r>
        <w:rPr>
          <w:rFonts w:ascii="Arial" w:cs="Arial" w:eastAsia="Arial" w:hAnsi="Arial"/>
          <w:sz w:val="22"/>
          <w:szCs w:val="22"/>
        </w:rPr>
        <w:t xml:space="preserve">Expand hiring beyond London — remote-first or hybrid roles immediately multiply the available talent pool and reduce London salary premiums.</w:t>
      </w:r>
    </w:p>
    <w:p>
      <w:pPr>
        <w:pStyle w:val="Heading2"/>
        <w:spacing w:after="140" w:before="280"/>
      </w:pPr>
      <w:r>
        <w:rPr>
          <w:rFonts w:ascii="Arial" w:cs="Arial" w:eastAsia="Arial" w:hAnsi="Arial"/>
          <w:b/>
          <w:bCs/>
          <w:color w:val="1565C0"/>
          <w:sz w:val="28"/>
          <w:szCs w:val="28"/>
        </w:rPr>
        <w:t xml:space="preserve">9.4 For Government: Policy Interventions</w:t>
      </w:r>
    </w:p>
    <w:p>
      <w:pPr>
        <w:pStyle w:val="ListParagraph"/>
        <w:numPr>
          <w:ilvl w:val="0"/>
          <w:numId w:val="2"/>
        </w:numPr>
        <w:spacing w:after="80" w:before="40"/>
      </w:pPr>
      <w:r>
        <w:rPr>
          <w:rFonts w:ascii="Arial" w:cs="Arial" w:eastAsia="Arial" w:hAnsi="Arial"/>
          <w:sz w:val="22"/>
          <w:szCs w:val="22"/>
        </w:rPr>
        <w:t xml:space="preserve">Accelerate the Youth Guarantee rollout and connect it explicitly to digital skills provision.</w:t>
      </w:r>
    </w:p>
    <w:p>
      <w:pPr>
        <w:pStyle w:val="ListParagraph"/>
        <w:numPr>
          <w:ilvl w:val="0"/>
          <w:numId w:val="2"/>
        </w:numPr>
        <w:spacing w:after="80" w:before="40"/>
      </w:pPr>
      <w:r>
        <w:rPr>
          <w:rFonts w:ascii="Arial" w:cs="Arial" w:eastAsia="Arial" w:hAnsi="Arial"/>
          <w:sz w:val="22"/>
          <w:szCs w:val="22"/>
        </w:rPr>
        <w:t xml:space="preserve">Introduce mandatory ethnicity pay gap reporting to drive accountability.</w:t>
      </w:r>
    </w:p>
    <w:p>
      <w:pPr>
        <w:pStyle w:val="ListParagraph"/>
        <w:numPr>
          <w:ilvl w:val="0"/>
          <w:numId w:val="2"/>
        </w:numPr>
        <w:spacing w:after="80" w:before="40"/>
      </w:pPr>
      <w:r>
        <w:rPr>
          <w:rFonts w:ascii="Arial" w:cs="Arial" w:eastAsia="Arial" w:hAnsi="Arial"/>
          <w:sz w:val="22"/>
          <w:szCs w:val="22"/>
        </w:rPr>
        <w:t xml:space="preserve">Expand Apprenticeship Levy flexibility to cover data analytics and business intelligence apprenticeships at degree level.</w:t>
      </w:r>
    </w:p>
    <w:p>
      <w:pPr>
        <w:pStyle w:val="ListParagraph"/>
        <w:numPr>
          <w:ilvl w:val="0"/>
          <w:numId w:val="2"/>
        </w:numPr>
        <w:spacing w:after="80" w:before="40"/>
      </w:pPr>
      <w:r>
        <w:rPr>
          <w:rFonts w:ascii="Arial" w:cs="Arial" w:eastAsia="Arial" w:hAnsi="Arial"/>
          <w:sz w:val="22"/>
          <w:szCs w:val="22"/>
        </w:rPr>
        <w:t xml:space="preserve">Consider NI relief for genuine graduate first-employment positions — reducing the cost of the first hire addresses the most critical bottleneck.</w:t>
      </w:r>
    </w:p>
    <w:p>
      <w:r>
        <w:br w:type="page"/>
      </w:r>
    </w:p>
    <w:p>
      <w:pPr>
        <w:pStyle w:val="Heading1"/>
        <w:spacing w:after="200" w:before="360"/>
      </w:pPr>
      <w:r>
        <w:rPr>
          <w:rFonts w:ascii="Arial" w:cs="Arial" w:eastAsia="Arial" w:hAnsi="Arial"/>
          <w:b/>
          <w:bCs/>
          <w:color w:val="0D1B2A"/>
          <w:sz w:val="36"/>
          <w:szCs w:val="36"/>
        </w:rPr>
        <w:t xml:space="preserve">10. Conclusion</w:t>
      </w:r>
    </w:p>
    <w:p>
      <w:pPr>
        <w:pBdr>
          <w:bottom w:val="single" w:color="1565C0" w:sz="6" w:space="1"/>
        </w:pBdr>
        <w:spacing w:after="120" w:before="120"/>
      </w:pPr>
      <w:r>
        <w:t xml:space="preserve"/>
      </w:r>
    </w:p>
    <w:p>
      <w:pPr>
        <w:spacing w:after="120" w:before="60"/>
        <w:jc w:val="both"/>
      </w:pPr>
      <w:r>
        <w:rPr>
          <w:rFonts w:ascii="Arial" w:cs="Arial" w:eastAsia="Arial" w:hAnsi="Arial"/>
          <w:color w:val="222222"/>
          <w:sz w:val="22"/>
          <w:szCs w:val="22"/>
        </w:rPr>
        <w:t xml:space="preserve">The UK job market in 2026 is recovering — but recovery has been profoundly unequal. The headline statistics tell a story of a tight labour market with historically low unemployment and hundreds of thousands of open roles. The data beneath those headlines tells a different story: graduate vacancies at their lowest since 2012, a NEET count breaching 1 million, 140 applications competing for every graduate role, and structural barriers that no amount of individual effort can fully overcome.</w:t>
      </w:r>
    </w:p>
    <w:p>
      <w:pPr>
        <w:spacing w:after="120" w:before="60"/>
        <w:jc w:val="both"/>
      </w:pPr>
      <w:r>
        <w:rPr>
          <w:rFonts w:ascii="Arial" w:cs="Arial" w:eastAsia="Arial" w:hAnsi="Arial"/>
          <w:color w:val="222222"/>
          <w:sz w:val="22"/>
          <w:szCs w:val="22"/>
        </w:rPr>
        <w:t xml:space="preserve">The causes are not simple or singular. COVID-19 delivered the initial shock. A 40-year inflation high and the fastest rate-rise cycle in a generation compounded it. The April 2025 NI rise made every new hire more expensive precisely when the market was beginning to recover. AI and automation are removing entry-level tasks while simultaneously making hiring processes more opaque. Geographic concentration in London creates a postcode lottery. The experience paradox traps graduates in a Catch-22. And the skills mismatch between what universities teach and what employers demand has never been wider.</w:t>
      </w:r>
    </w:p>
    <w:p>
      <w:pPr>
        <w:spacing w:after="120" w:before="60"/>
        <w:jc w:val="both"/>
      </w:pPr>
      <w:r>
        <w:rPr>
          <w:rFonts w:ascii="Arial" w:cs="Arial" w:eastAsia="Arial" w:hAnsi="Arial"/>
          <w:color w:val="222222"/>
          <w:sz w:val="22"/>
          <w:szCs w:val="22"/>
        </w:rPr>
        <w:t xml:space="preserve">None of these problems are insurmountable. Interest rates are falling. AI will create new roles even as it eliminates others. The government's £820 million Youth Guarantee signals intent. Employers are beginning — slowly — to rethink degree requirements and adopt skills-based hiring. And graduates who take the time to build demonstrable, public portfolios of practical skills are breaking through.</w:t>
      </w:r>
    </w:p>
    <w:p>
      <w:pPr>
        <w:spacing w:after="120" w:before="60"/>
        <w:jc w:val="both"/>
      </w:pPr>
      <w:r>
        <w:rPr>
          <w:rFonts w:ascii="Arial" w:cs="Arial" w:eastAsia="Arial" w:hAnsi="Arial"/>
          <w:color w:val="222222"/>
          <w:sz w:val="22"/>
          <w:szCs w:val="22"/>
        </w:rPr>
        <w:t xml:space="preserve">The road to full recovery runs through 2028. The base case model projects employment returning to pre-pandemic levels by Q2 2028, vacancies recovering to 1.1 million by 2030, and graduate salaries reaching £38,200 on average. But these are aggregate projections. The graduate entering the market in 2026 cannot wait for 2028. They need to understand the landscape, identify the structural barriers, and build a strategy that addresses them directly.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none" w:color="FFFFFF" w:sz="0"/>
              <w:bottom w:val="none" w:color="FFFFFF" w:sz="0"/>
              <w:right w:val="none" w:color="FFFFFF" w:sz="0"/>
            </w:tcBorders>
            <w:shd w:fill="D6E4F7" w:val="clear"/>
            <w:tcMar>
              <w:top w:type="dxa" w:w="100"/>
              <w:left w:type="dxa" w:w="140"/>
              <w:bottom w:type="dxa" w:w="100"/>
              <w:right w:type="dxa" w:w="140"/>
            </w:tcMar>
          </w:tcPr>
          <w:p>
            <w:pPr>
              <w:spacing w:after="60" w:before="0"/>
            </w:pPr>
            <w:r>
              <w:rPr>
                <w:rFonts w:ascii="Arial" w:cs="Arial" w:eastAsia="Arial" w:hAnsi="Arial"/>
                <w:b/>
                <w:bCs/>
                <w:caps/>
                <w:color w:val="1565C0"/>
                <w:sz w:val="18"/>
                <w:szCs w:val="18"/>
              </w:rPr>
              <w:t xml:space="preserve">CLOSING NOTE</w:t>
            </w:r>
          </w:p>
          <w:p>
            <w:pPr>
              <w:spacing w:after="0" w:before="0"/>
              <w:jc w:val="both"/>
            </w:pPr>
            <w:r>
              <w:rPr>
                <w:rFonts w:ascii="Arial" w:cs="Arial" w:eastAsia="Arial" w:hAnsi="Arial"/>
                <w:color w:val="0D1B2A"/>
                <w:sz w:val="21"/>
                <w:szCs w:val="21"/>
              </w:rPr>
              <w:t xml:space="preserve">This research project is itself an example of that strategy: demonstrating SQL, Python, R, Power BI, Tableau, statistical analysis and data storytelling skills through a publicly visible, evidence-based analysis of the very market the author is seeking to enter. In a market defined by the experience paradox, building the evidence is the only way through.</w:t>
            </w:r>
          </w:p>
        </w:tc>
      </w:tr>
    </w:tbl>
    <w:p>
      <w:r>
        <w:br w:type="page"/>
      </w:r>
    </w:p>
    <w:p>
      <w:pPr>
        <w:pStyle w:val="Heading1"/>
        <w:spacing w:after="200" w:before="360"/>
      </w:pPr>
      <w:r>
        <w:rPr>
          <w:rFonts w:ascii="Arial" w:cs="Arial" w:eastAsia="Arial" w:hAnsi="Arial"/>
          <w:b/>
          <w:bCs/>
          <w:color w:val="0D1B2A"/>
          <w:sz w:val="36"/>
          <w:szCs w:val="36"/>
        </w:rPr>
        <w:t xml:space="preserve">11. Sources and Data References</w:t>
      </w:r>
    </w:p>
    <w:p>
      <w:pPr>
        <w:pBdr>
          <w:bottom w:val="single" w:color="1565C0" w:sz="6" w:space="1"/>
        </w:pBdr>
        <w:spacing w:after="120" w:before="120"/>
      </w:pPr>
      <w:r>
        <w:t xml:space="preserve"/>
      </w:r>
    </w:p>
    <w:p>
      <w:pPr>
        <w:spacing w:after="120" w:before="60"/>
        <w:jc w:val="both"/>
      </w:pPr>
      <w:r>
        <w:rPr>
          <w:rFonts w:ascii="Arial" w:cs="Arial" w:eastAsia="Arial" w:hAnsi="Arial"/>
          <w:color w:val="222222"/>
          <w:sz w:val="22"/>
          <w:szCs w:val="22"/>
        </w:rPr>
        <w:t xml:space="preserve">All statistics are sourced from primary or peer-reviewed secondary sources as of July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Source</w:t>
            </w:r>
          </w:p>
        </w:tc>
        <w:tc>
          <w:tcPr>
            <w:tcW w:type="dxa" w:w="356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Data Used</w:t>
            </w:r>
          </w:p>
        </w:tc>
        <w:tc>
          <w:tcPr>
            <w:tcW w:type="dxa" w:w="3200"/>
            <w:tcBorders>
              <w:top w:val="single" w:color="DDDDDD" w:sz="1"/>
              <w:left w:val="single" w:color="DDDDDD" w:sz="1"/>
              <w:bottom w:val="single" w:color="DDDDDD" w:sz="1"/>
              <w:right w:val="single" w:color="DDDDDD" w:sz="1"/>
            </w:tcBorders>
            <w:shd w:fill="1565C0" w:val="clear"/>
            <w:tcMar>
              <w:top w:type="dxa" w:w="70"/>
              <w:left w:type="dxa" w:w="120"/>
              <w:bottom w:type="dxa" w:w="70"/>
              <w:right w:type="dxa" w:w="120"/>
            </w:tcMar>
          </w:tcPr>
          <w:p>
            <w:pPr>
              <w:spacing w:after="0" w:before="0"/>
            </w:pPr>
            <w:r>
              <w:rPr>
                <w:rFonts w:ascii="Arial" w:cs="Arial" w:eastAsia="Arial" w:hAnsi="Arial"/>
                <w:b/>
                <w:bCs/>
                <w:color w:val="FFFFFF"/>
                <w:sz w:val="20"/>
                <w:szCs w:val="20"/>
              </w:rPr>
              <w:t xml:space="preserve">URL / Reference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Office for National Statistics (ONS)</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Employment rate, unemployment, vacancies, GDP, CPI, earnings, NEET, inactivity</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ons.gov.uk/employmentandlabourmarket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Bank of England (BoE)</w:t>
            </w:r>
          </w:p>
        </w:tc>
        <w:tc>
          <w:tcPr>
            <w:tcW w:type="dxa" w:w="3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Base rate history, monetary policy reports, inflation forecasts</w:t>
            </w:r>
          </w:p>
        </w:tc>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bankofengland.co.uk</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HESA Graduate Outcomes</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Employment rates by subject, salary, time-to-offer, cohort analysis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hesa.ac.uk/data-and-analysis/graduates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ISE Student Recruitment Survey 2025</w:t>
            </w:r>
          </w:p>
        </w:tc>
        <w:tc>
          <w:tcPr>
            <w:tcW w:type="dxa" w:w="3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Applications per vacancy, graduate hires trend, employer outlook</w:t>
            </w:r>
          </w:p>
        </w:tc>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ise.org.uk</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House of Commons Library</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Labour market briefings, interest rate analysis, inflation overview</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commonslibrary.parliament.uk</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DfE Graduate Labour Market Statistics 2024</w:t>
            </w:r>
          </w:p>
        </w:tc>
        <w:tc>
          <w:tcPr>
            <w:tcW w:type="dxa" w:w="3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Graduate employment rates, salary premiums</w:t>
            </w:r>
          </w:p>
        </w:tc>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gov.uk/government/statistics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Resolution Foundation</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Real wage analysis, macroeconomic policy outlook Q2 2026</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resolutionfoundation.org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KPMG UK Economic Outlook</w:t>
            </w:r>
          </w:p>
        </w:tc>
        <w:tc>
          <w:tcPr>
            <w:tcW w:type="dxa" w:w="3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GDP forecast, business confidence</w:t>
            </w:r>
          </w:p>
        </w:tc>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kpmg.com/uk/en/insights/economics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Social Mobility Commission</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Regional inequality, graduate outcomes by socioeconomic background</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socialmobility.independent-commission.uk</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Living Wage Foundation</w:t>
            </w:r>
          </w:p>
        </w:tc>
        <w:tc>
          <w:tcPr>
            <w:tcW w:type="dxa" w:w="3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Gender low pay gap, women in low-paid work</w:t>
            </w:r>
          </w:p>
        </w:tc>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livingwage.org.uk</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IntuitionLabs / IFOW / Whali</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AI impact on graduate jobs, ATS rejection rates, 2026 hiring trends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Multiple</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Hult International Business School</w:t>
            </w:r>
          </w:p>
        </w:tc>
        <w:tc>
          <w:tcPr>
            <w:tcW w:type="dxa" w:w="3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Employer attitudes to graduates, skills alignment survey</w:t>
            </w:r>
          </w:p>
        </w:tc>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hult.edu research</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ONS Regional Labour Market</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North-South employment gap, London job creation</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ons.gov.uk/employmentandlabourmarket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Youth Futures Foundation</w:t>
            </w:r>
          </w:p>
        </w:tc>
        <w:tc>
          <w:tcPr>
            <w:tcW w:type="dxa" w:w="3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NEET trends quarterly analysis 2025</w:t>
            </w:r>
          </w:p>
        </w:tc>
        <w:tc>
          <w:tcPr>
            <w:tcW w:type="dxa" w:w="3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youthfuturesfoundation.org</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Prospects Luminate</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Graduate salaries, 'What Do Graduates Do?' 2025-26</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spacing w:after="0" w:before="0"/>
            </w:pPr>
            <w:r>
              <w:rPr>
                <w:rFonts w:ascii="Arial" w:cs="Arial" w:eastAsia="Arial" w:hAnsi="Arial"/>
                <w:color w:val="222222"/>
                <w:sz w:val="20"/>
                <w:szCs w:val="20"/>
              </w:rPr>
              <w:t xml:space="preserve">luminate.prospects.ac.uk</w:t>
            </w:r>
          </w:p>
        </w:tc>
      </w:tr>
    </w:tbl>
    <w:p>
      <w:pPr>
        <w:spacing w:after="100" w:before="100"/>
      </w:pPr>
      <w:r>
        <w:t xml:space="preserve"/>
      </w:r>
    </w:p>
    <w:p>
      <w:pPr>
        <w:pBdr>
          <w:bottom w:val="single" w:color="1565C0" w:sz="6" w:space="1"/>
        </w:pBdr>
        <w:spacing w:after="120" w:before="120"/>
      </w:pPr>
      <w:r>
        <w:t xml:space="preserve"/>
      </w:r>
    </w:p>
    <w:p>
      <w:pPr>
        <w:spacing w:after="80" w:before="200"/>
        <w:jc w:val="center"/>
      </w:pPr>
      <w:r>
        <w:rPr>
          <w:rFonts w:ascii="Arial" w:cs="Arial" w:eastAsia="Arial" w:hAnsi="Arial"/>
          <w:b/>
          <w:bCs/>
          <w:caps/>
          <w:color w:val="999999"/>
          <w:sz w:val="20"/>
          <w:szCs w:val="20"/>
        </w:rPr>
        <w:t xml:space="preserve">END OF REPORT</w:t>
      </w:r>
    </w:p>
    <w:p>
      <w:pPr>
        <w:spacing w:after="0" w:before="0"/>
        <w:jc w:val="center"/>
      </w:pPr>
      <w:r>
        <w:rPr>
          <w:rFonts w:ascii="Arial" w:cs="Arial" w:eastAsia="Arial" w:hAnsi="Arial"/>
          <w:color w:val="AAAAAA"/>
          <w:sz w:val="18"/>
          <w:szCs w:val="18"/>
        </w:rPr>
        <w:t xml:space="preserve">Gaurav Indora  |  gauravindora744@gmail.com  |  July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after="0"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Portfolio Project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after="0"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Portfolio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100" w:before="0"/>
    </w:pPr>
    <w:r>
      <w:rPr>
        <w:rFonts w:ascii="Arial" w:cs="Arial" w:eastAsia="Arial" w:hAnsi="Arial"/>
        <w:color w:val="888888"/>
        <w:sz w:val="18"/>
        <w:szCs w:val="18"/>
      </w:rPr>
      <w:t xml:space="preserve">Is the UK Job Market Recovering After 2020?  |  Gaurav Indora  |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100" w:before="0"/>
    </w:pPr>
    <w:r>
      <w:rPr>
        <w:rFonts w:ascii="Arial" w:cs="Arial" w:eastAsia="Arial" w:hAnsi="Arial"/>
        <w:color w:val="888888"/>
        <w:sz w:val="18"/>
        <w:szCs w:val="18"/>
      </w:rPr>
      <w:t xml:space="preserve">Is the UK Job Market Recovering After 2020?  |  Gaurav Indora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2026-07-03T14:16:49.285Z</dcterms:created>
  <dcterms:modified xsi:type="dcterms:W3CDTF">2026-07-03T14:16:49.285Z</dcterms:modified>
</cp:coreProperties>
</file>

<file path=docProps/custom.xml><?xml version="1.0" encoding="utf-8"?>
<Properties xmlns="http://schemas.openxmlformats.org/officeDocument/2006/custom-properties" xmlns:vt="http://schemas.openxmlformats.org/officeDocument/2006/docPropsVTypes"/>
</file>