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color w:val="1F3A5F"/>
          <w:sz w:val="22"/>
          <w:szCs w:val="22"/>
        </w:rPr>
        <w:t xml:space="preserve">OPPORTUNITY MEMO</w:t>
      </w:r>
    </w:p>
    <w:p>
      <w:pPr>
        <w:spacing w:after="80"/>
        <w:jc w:val="left"/>
      </w:pPr>
      <w:r>
        <w:rPr>
          <w:b/>
          <w:bCs/>
          <w:sz w:val="44"/>
          <w:szCs w:val="44"/>
        </w:rPr>
        <w:t xml:space="preserve">The Shariah Threshold Gap in Halal Investing</w:t>
      </w:r>
    </w:p>
    <w:p>
      <w:pPr>
        <w:spacing w:after="360"/>
        <w:jc w:val="left"/>
      </w:pPr>
      <w:r>
        <w:rPr>
          <w:i/>
          <w:iCs/>
          <w:color w:val="555555"/>
          <w:sz w:val="24"/>
          <w:szCs w:val="24"/>
        </w:rPr>
        <w:t xml:space="preserve">Validating the “different sects, different thresholds” thesis — and what to build on top of it.</w:t>
      </w:r>
    </w:p>
    <w:p>
      <w:pPr>
        <w:spacing w:after="480"/>
      </w:pPr>
      <w:r>
        <w:rPr>
          <w:color w:val="666666"/>
          <w:sz w:val="20"/>
          <w:szCs w:val="20"/>
        </w:rPr>
        <w:t xml:space="preserve">Prepared for: jk    </w:t>
      </w:r>
      <w:r>
        <w:rPr>
          <w:color w:val="666666"/>
          <w:sz w:val="20"/>
          <w:szCs w:val="20"/>
        </w:rPr>
        <w:t xml:space="preserve">Date: 18 May 2026</w:t>
      </w:r>
    </w:p>
    <w:p>
      <w:pPr>
        <w:pStyle w:val="Heading1"/>
        <w:spacing w:after="180" w:before="360"/>
      </w:pPr>
      <w:r>
        <w:t xml:space="preserve">TL;DR</w:t>
      </w:r>
    </w:p>
    <w:p>
      <w:pPr>
        <w:spacing w:after="120" w:line="300"/>
      </w:pPr>
      <w:r>
        <w:t xml:space="preserve">Your friend’s intuition is right; his numbers are slightly scrambled. The “0% / 6% / 30%” figures aren’t different sects’ interest tolerances. They are different screening ratios used by different standards bodies and scholars. There is no widely-recognized “6% sect.” But the underlying insight — that Shariah compliance is a spectrum, not a binary, and that most halal investing products serve only one point on that spectrum — is correct and commercially significant.</w:t>
      </w:r>
    </w:p>
    <w:p>
      <w:pPr>
        <w:spacing w:after="120" w:line="300"/>
      </w:pPr>
      <w:r>
        <w:t xml:space="preserve">Global Islamic finance assets reached roughly $5.2–5.5 trillion in 2025 and are tracking toward $6 trillion by end-2026, growing 11–15% per year. Islamic fintech alone is projected at $341B by 2029. Yet existing halal investing apps almost universally screen against a single standard (usually AAOIFI), forcing users from different schools of thought — strict purists, Ja’fari Shia, conservative Hanbalis, the more permissive Malaysian SAC tradition — to either accept a one-size-fits-all rule or opt out entirely.</w:t>
      </w:r>
    </w:p>
    <w:p>
      <w:pPr>
        <w:spacing w:after="120" w:line="300"/>
      </w:pPr>
      <w:r>
        <w:t xml:space="preserve">The largest practical opportunity is not a new “6% sect” market — it is the multi-standard, customizable, scholar-pluggable layer that lets every Muslim investor align their portfolio to their own interpretation. Five specific business ideas, scored, are at the end of this memo.</w:t>
      </w:r>
    </w:p>
    <w:p>
      <w:pPr>
        <w:pStyle w:val="Heading1"/>
        <w:spacing w:after="180" w:before="360"/>
      </w:pPr>
      <w:r>
        <w:t xml:space="preserve">1.  The threshold landscape — what’s actually true</w:t>
      </w:r>
    </w:p>
    <w:p>
      <w:pPr>
        <w:spacing w:after="120" w:line="300"/>
      </w:pPr>
      <w:r>
        <w:t xml:space="preserve">Across all schools of Islamic jurisprudence (Hanafi, Maliki, Shafi’i, Hanbali, and Ja’fari Shia), riba (interest/usury) is unanimously prohibited. There is no school that “allows 6% interest.” What varies is how scholars handle the practical reality that nearly every public company touches interest in some way — holding cash in banks, carrying debt, earning interest float.</w:t>
      </w:r>
    </w:p>
    <w:p>
      <w:pPr>
        <w:spacing w:after="120" w:line="300"/>
      </w:pPr>
      <w:r>
        <w:t xml:space="preserve">To make stock investing tractable, standards bodies and scholars set tolerance thresholds on three things: how much of a company’s income comes from non-permissible sources, how much debt it carries relative to its market cap, and how much cash or interest-bearing securities sit on its balance sheet. The table below shows the actual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1700"/>
        <w:gridCol w:w="156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Standard / School</w:t>
            </w:r>
          </w:p>
        </w:tc>
        <w:tc>
          <w:tcPr>
            <w:tcW w:type="dxa" w:w="19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Impermissible income</w:t>
            </w:r>
          </w:p>
        </w:tc>
        <w:tc>
          <w:tcPr>
            <w:tcW w:type="dxa" w:w="19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Interest-bearing debt</w:t>
            </w:r>
          </w:p>
        </w:tc>
        <w:tc>
          <w:tcPr>
            <w:tcW w:type="dxa" w:w="17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Cash + securities</w:t>
            </w:r>
          </w:p>
        </w:tc>
        <w:tc>
          <w:tcPr>
            <w:tcW w:type="dxa" w:w="156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Stance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Zero-tolerance scholars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b w:val="false"/>
                <w:bCs w:val="false"/>
                <w:sz w:val="20"/>
                <w:szCs w:val="20"/>
              </w:rPr>
              <w:t xml:space="preserve">Strictest</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AAOIFI (Gulf standard)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b w:val="false"/>
                <w:bCs w:val="false"/>
                <w:sz w:val="20"/>
                <w:szCs w:val="20"/>
              </w:rPr>
              <w:t xml:space="preserve">Stricter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Dow Jones Islamic Market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 (incl. receivables)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b w:val="false"/>
                <w:bCs w:val="false"/>
                <w:sz w:val="20"/>
                <w:szCs w:val="20"/>
              </w:rPr>
              <w:t xml:space="preserve">Mid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S&amp;P / MSCI / FTSE Islamic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b w:val="false"/>
                <w:bCs w:val="false"/>
                <w:sz w:val="20"/>
                <w:szCs w:val="20"/>
              </w:rPr>
              <w:t xml:space="preserve">Mid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Malaysian SAC (post-2025)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b w:val="false"/>
                <w:bCs w:val="false"/>
                <w:sz w:val="20"/>
                <w:szCs w:val="20"/>
              </w:rPr>
              <w:t xml:space="preserve">Mid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Malaysian SAC (pre-2025)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5% core, &lt; 20% mixed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&lt; 33%</w:t>
            </w:r>
          </w:p>
        </w:tc>
        <w:tc>
          <w:tcPr>
            <w:tcW w:type="dxa" w:w="156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0"/>
            </w:pPr>
            <w:r>
              <w:rPr>
                <w:b w:val="false"/>
                <w:bCs w:val="false"/>
                <w:sz w:val="20"/>
                <w:szCs w:val="20"/>
              </w:rPr>
              <w:t xml:space="preserve">More permissive</w:t>
            </w:r>
          </w:p>
        </w:tc>
      </w:tr>
    </w:tbl>
    <w:p>
      <w:pPr>
        <w:spacing w:after="120" w:line="300"/>
      </w:pPr>
      <w:r>
        <w:t xml:space="preserve"/>
      </w:r>
    </w:p>
    <w:p>
      <w:pPr>
        <w:spacing w:after="120" w:line="300"/>
      </w:pPr>
      <w:r>
        <w:t xml:space="preserve">A few key takeaways your friend’s framing missed:</w:t>
      </w:r>
    </w:p>
    <w:p>
      <w:pPr>
        <w:pStyle w:val="ListParagraph"/>
        <w:numPr>
          <w:ilvl w:val="0"/>
          <w:numId w:val="2"/>
        </w:numPr>
        <w:spacing w:after="80" w:line="280"/>
      </w:pPr>
      <w:r>
        <w:t xml:space="preserve">The 0% threshold is real but minority. A meaningful school of thought says any riba exposure makes a stock impermissible, period. These investors are essentially locked out of public equities and rely on sukuk, gold, real estate, or private business.</w:t>
      </w:r>
    </w:p>
    <w:p>
      <w:pPr>
        <w:pStyle w:val="ListParagraph"/>
        <w:numPr>
          <w:ilvl w:val="0"/>
          <w:numId w:val="2"/>
        </w:numPr>
        <w:spacing w:after="80" w:line="280"/>
      </w:pPr>
      <w:r>
        <w:t xml:space="preserve">The 5% figure is the most common impermissible-income threshold (AAOIFI, DJIM, S&amp;P, MSCI, FTSE, Malaysian SAC). The “6%” your friend mentioned is most likely a misremembering of this 5% figure, or possibly a niche scholar’s ruling we couldn’t source publicly. We could not confirm a recognized “6% standard.”</w:t>
      </w:r>
    </w:p>
    <w:p>
      <w:pPr>
        <w:pStyle w:val="ListParagraph"/>
        <w:numPr>
          <w:ilvl w:val="0"/>
          <w:numId w:val="2"/>
        </w:numPr>
        <w:spacing w:after="80" w:line="280"/>
      </w:pPr>
      <w:r>
        <w:t xml:space="preserve">The 30% vs 33% gulf between AAOIFI and the index providers is the most important real divide. AAOIFI uses 30% as one-third rounded down for caution; index providers use one-third exactly. Choosing 30 vs 33 changes which thousands of stocks pass.</w:t>
      </w:r>
    </w:p>
    <w:p>
      <w:pPr>
        <w:pStyle w:val="ListParagraph"/>
        <w:numPr>
          <w:ilvl w:val="0"/>
          <w:numId w:val="2"/>
        </w:numPr>
        <w:spacing w:after="80" w:line="280"/>
      </w:pPr>
      <w:r>
        <w:t xml:space="preserve">Malaysia recently tightened. The Malaysian SAC removed its 20% mixed-activity benchmark effective for fiscal years ending Dec 2025 or later, narrowing one of the most permissive standards in the industry. This shrunk the eligible universe in Malaysia and is shifting conservative investors toward stricter Gulf standards.</w:t>
      </w:r>
    </w:p>
    <w:p>
      <w:pPr>
        <w:pStyle w:val="ListParagraph"/>
        <w:numPr>
          <w:ilvl w:val="0"/>
          <w:numId w:val="2"/>
        </w:numPr>
        <w:spacing w:after="80" w:line="280"/>
      </w:pPr>
      <w:r>
        <w:t xml:space="preserve">Purification bridges the gap. Many investors hold borderline-compliant stocks and “purify” the small impure income portion by donating it to charity. This is itself a service category.</w:t>
      </w:r>
    </w:p>
    <w:p>
      <w:pPr>
        <w:pStyle w:val="Heading1"/>
        <w:spacing w:after="180" w:before="360"/>
      </w:pPr>
      <w:r>
        <w:t xml:space="preserve">2.  Market size and demographics</w:t>
      </w:r>
    </w:p>
    <w:p>
      <w:pPr>
        <w:pStyle w:val="Heading2"/>
        <w:spacing w:after="140" w:before="280"/>
      </w:pPr>
      <w:r>
        <w:t xml:space="preserve">Global numbers</w:t>
      </w:r>
    </w:p>
    <w:p>
      <w:pPr>
        <w:pStyle w:val="ListParagraph"/>
        <w:numPr>
          <w:ilvl w:val="0"/>
          <w:numId w:val="2"/>
        </w:numPr>
        <w:spacing w:after="80" w:line="280"/>
      </w:pPr>
      <w:r>
        <w:t xml:space="preserve">Islamic finance assets: $5.2–5.5 trillion in 2025; tracking to $6 trillion by end-2026; projected $9.3 trillion by 2030 at ~11% CAGR.</w:t>
      </w:r>
    </w:p>
    <w:p>
      <w:pPr>
        <w:pStyle w:val="ListParagraph"/>
        <w:numPr>
          <w:ilvl w:val="0"/>
          <w:numId w:val="2"/>
        </w:numPr>
        <w:spacing w:after="80" w:line="280"/>
      </w:pPr>
      <w:r>
        <w:t xml:space="preserve">Islamic fintech specifically: $341 billion projected by 2029 at 11.5% CAGR.</w:t>
      </w:r>
    </w:p>
    <w:p>
      <w:pPr>
        <w:pStyle w:val="ListParagraph"/>
        <w:numPr>
          <w:ilvl w:val="0"/>
          <w:numId w:val="2"/>
        </w:numPr>
        <w:spacing w:after="80" w:line="280"/>
      </w:pPr>
      <w:r>
        <w:t xml:space="preserve">Global Muslim population: ~2 billion today, projected 3 billion by 2060. Geographically concentrated in Asia-Pacific (Indonesia, Pakistan, Bangladesh, India, Malaysia), MENA, and Sub-Saharan Africa, with growing populations in Western Europe and North America.</w:t>
      </w:r>
    </w:p>
    <w:p>
      <w:pPr>
        <w:pStyle w:val="ListParagraph"/>
        <w:numPr>
          <w:ilvl w:val="0"/>
          <w:numId w:val="2"/>
        </w:numPr>
        <w:spacing w:after="80" w:line="280"/>
      </w:pPr>
      <w:r>
        <w:t xml:space="preserve">Regional split (2024): Middle East &amp; Africa held 62% of Islamic finance market share. Asia-Pacific is the fastest-growing region at 13.3% CAGR.</w:t>
      </w:r>
    </w:p>
    <w:p>
      <w:pPr>
        <w:pStyle w:val="Heading2"/>
        <w:spacing w:after="140" w:before="280"/>
      </w:pPr>
      <w:r>
        <w:t xml:space="preserve">The underserved gap</w:t>
      </w:r>
    </w:p>
    <w:p>
      <w:pPr>
        <w:spacing w:after="120" w:line="300"/>
      </w:pPr>
      <w:r>
        <w:t xml:space="preserve">This is where the real opportunity lives. Islamic finance is roughly $5T against a Muslim population whose share of global household wealth is several multiples larger. A few specific gaps:</w:t>
      </w:r>
    </w:p>
    <w:p>
      <w:pPr>
        <w:pStyle w:val="ListParagraph"/>
        <w:numPr>
          <w:ilvl w:val="0"/>
          <w:numId w:val="2"/>
        </w:numPr>
        <w:spacing w:after="80" w:line="280"/>
      </w:pPr>
      <w:r>
        <w:rPr>
          <w:b/>
          <w:bCs/>
        </w:rPr>
        <w:t xml:space="preserve">Western Muslim retirement: </w:t>
      </w:r>
      <w:r>
        <w:t xml:space="preserve">92% of US Muslim employees in informal polling said they’d view their employer more favorably if a Shariah-compliant 401(k) option were offered. Today almost none do. Some employees are leaving jobs or skipping employer match because their plan lacks halal funds.</w:t>
      </w:r>
    </w:p>
    <w:p>
      <w:pPr>
        <w:pStyle w:val="ListParagraph"/>
        <w:numPr>
          <w:ilvl w:val="0"/>
          <w:numId w:val="2"/>
        </w:numPr>
        <w:spacing w:after="80" w:line="280"/>
      </w:pPr>
      <w:r>
        <w:rPr>
          <w:b/>
          <w:bCs/>
        </w:rPr>
        <w:t xml:space="preserve">Retail sukuk access: </w:t>
      </w:r>
      <w:r>
        <w:t xml:space="preserve">Sukuk (Islamic bonds) were until recently institutional-only with $200K+ minimum tickets. The UAE’s 2025 Retail Sukuk initiative dropped the entry to AED 4,000 (~$1,000). The US/UK/EU still have almost no retail sukuk distribution.</w:t>
      </w:r>
    </w:p>
    <w:p>
      <w:pPr>
        <w:pStyle w:val="ListParagraph"/>
        <w:numPr>
          <w:ilvl w:val="0"/>
          <w:numId w:val="2"/>
        </w:numPr>
        <w:spacing w:after="80" w:line="280"/>
      </w:pPr>
      <w:r>
        <w:rPr>
          <w:b/>
          <w:bCs/>
        </w:rPr>
        <w:t xml:space="preserve">Strict (0%) Muslims: </w:t>
      </w:r>
      <w:r>
        <w:t xml:space="preserve">Have effectively zero equity-investing infrastructure. Their options are physical gold, real estate, or private musharaka/mudaraba arrangements. Tokenized real estate or commodity-backed products could open this segment.</w:t>
      </w:r>
    </w:p>
    <w:p>
      <w:pPr>
        <w:pStyle w:val="ListParagraph"/>
        <w:numPr>
          <w:ilvl w:val="0"/>
          <w:numId w:val="2"/>
        </w:numPr>
        <w:spacing w:after="80" w:line="280"/>
      </w:pPr>
      <w:r>
        <w:rPr>
          <w:b/>
          <w:bCs/>
        </w:rPr>
        <w:t xml:space="preserve">Africa and South Asia: </w:t>
      </w:r>
      <w:r>
        <w:t xml:space="preserve">Large, fast-growing Muslim populations that remain heavily unbanked. Most Islamic finance capital is currently concentrated in the GCC and Malaysia, leaving Indonesia, Nigeria, Pakistan, and Bangladesh underserved relative to demographic weight.</w:t>
      </w:r>
    </w:p>
    <w:p>
      <w:pPr>
        <w:pStyle w:val="ListParagraph"/>
        <w:numPr>
          <w:ilvl w:val="0"/>
          <w:numId w:val="2"/>
        </w:numPr>
        <w:spacing w:after="80" w:line="280"/>
      </w:pPr>
      <w:r>
        <w:rPr>
          <w:b/>
          <w:bCs/>
        </w:rPr>
        <w:t xml:space="preserve">Halal crypto / DeFi: </w:t>
      </w:r>
      <w:r>
        <w:t xml:space="preserve">An entire emerging asset class with no consensus Shariah view. Some scholars accept Bitcoin and asset-backed tokens; many flag yield-bearing DeFi as riba. Almost no consumer product helps a Muslim investor navigate this.</w:t>
      </w:r>
    </w:p>
    <w:p>
      <w:pPr>
        <w:pStyle w:val="Heading1"/>
        <w:spacing w:after="180" w:before="360"/>
      </w:pPr>
      <w:r>
        <w:t xml:space="preserve">3.  Existing players — who’s in this space</w:t>
      </w:r>
    </w:p>
    <w:p>
      <w:pPr>
        <w:spacing w:after="120" w:line="300"/>
      </w:pPr>
      <w:r>
        <w:t xml:space="preserve">The halal-investing landscape clusters into three categories: robo-advisors that manage money, screeners that help DIY investors check tickers, and traditional fund managers. Notable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Player</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Category</w:t>
            </w:r>
          </w:p>
        </w:tc>
        <w:tc>
          <w:tcPr>
            <w:tcW w:type="dxa" w:w="566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Notes &amp; screening standard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Wahed Invest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Robo-advisor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Largest halal robo. AAOIFI-based portfolios. $100 minimum, 0.99% fee. Available in US, UK, MENA, SE Asia.</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Zoya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Screener app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Premier consumer-grade screener. $9.99/mo. AAOIFI-based. Polished UX, brokerage integration. Best-in-class for retail DIY.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Musaffa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Screener + research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Deeper financial research, 30,000+ stock ratings, in-house Shariah advisory board. More analytical than Zoya.</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Islamicly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Screener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Strong international coverage, India focus, 30,000+ stocks. Older brand.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HalalScreener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Multi-madhab screener + AI scholar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Notable: explicitly supports queries across 5 madhabs (Hanafi, Shafi’i, Maliki, Hanbali, Ja’fari). Closest player to the threshold-customization thesis.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Hudood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Multi-standard screener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Cross-checks compliance using three independent screening standards so users can follow the majority opinion. Crypto coverage too.</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Amana / Saturna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US mutual funds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Oldest US halal funds (since 1980s). Strong institutional credibility, weak digital experience. Available in some 401(k)s via brokerage windows.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ShariaPortfolio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RIA / 401(k) provider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Specifically offers Shariah-compliant 401(k) menus to employers. Small but the most direct play on the retirement gap.</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ADIB Smart Sukuk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Retail sukuk platform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UAE bank product (Apr 2025). $1K minimum, fractional sukuk via mobile app. Geography-locked to UAE residents.</w:t>
            </w:r>
          </w:p>
        </w:tc>
      </w:tr>
    </w:tbl>
    <w:p>
      <w:pPr>
        <w:spacing w:after="120" w:line="300"/>
      </w:pPr>
      <w:r>
        <w:t xml:space="preserve"/>
      </w:r>
    </w:p>
    <w:p>
      <w:pPr>
        <w:pStyle w:val="Heading2"/>
        <w:spacing w:after="140" w:before="280"/>
      </w:pPr>
      <w:r>
        <w:t xml:space="preserve">Where the white space lives</w:t>
      </w:r>
    </w:p>
    <w:p>
      <w:pPr>
        <w:pStyle w:val="ListParagraph"/>
        <w:numPr>
          <w:ilvl w:val="0"/>
          <w:numId w:val="2"/>
        </w:numPr>
        <w:spacing w:after="80" w:line="280"/>
      </w:pPr>
      <w:r>
        <w:t xml:space="preserve">Multi-threshold customization is just starting (HalalScreener, Hudood) but isn’t mainstream. Wahed, Zoya, Musaffa, and Islamicly all default to a single standard and don’t let users dial in their own.</w:t>
      </w:r>
    </w:p>
    <w:p>
      <w:pPr>
        <w:pStyle w:val="ListParagraph"/>
        <w:numPr>
          <w:ilvl w:val="0"/>
          <w:numId w:val="2"/>
        </w:numPr>
        <w:spacing w:after="80" w:line="280"/>
      </w:pPr>
      <w:r>
        <w:t xml:space="preserve">Employer-side 401(k) tooling is dominated by one small player (ShariaPortfolio). The HR/benefits sales motion is wide open.</w:t>
      </w:r>
    </w:p>
    <w:p>
      <w:pPr>
        <w:pStyle w:val="ListParagraph"/>
        <w:numPr>
          <w:ilvl w:val="0"/>
          <w:numId w:val="2"/>
        </w:numPr>
        <w:spacing w:after="80" w:line="280"/>
      </w:pPr>
      <w:r>
        <w:t xml:space="preserve">Retail sukuk distribution outside the UAE is essentially greenfield.</w:t>
      </w:r>
    </w:p>
    <w:p>
      <w:pPr>
        <w:pStyle w:val="ListParagraph"/>
        <w:numPr>
          <w:ilvl w:val="0"/>
          <w:numId w:val="2"/>
        </w:numPr>
        <w:spacing w:after="80" w:line="280"/>
      </w:pPr>
      <w:r>
        <w:t xml:space="preserve">Compliance-as-a-service (B2B API to add halal mode to any existing fintech) doesn’t meaningfully exist as a packaged product.</w:t>
      </w:r>
    </w:p>
    <w:p>
      <w:pPr>
        <w:pStyle w:val="ListParagraph"/>
        <w:numPr>
          <w:ilvl w:val="0"/>
          <w:numId w:val="2"/>
        </w:numPr>
        <w:spacing w:after="80" w:line="280"/>
      </w:pPr>
      <w:r>
        <w:t xml:space="preserve">Purification automation — the practice of donating the impure portion of dividend income to charity — is a recurring manual chore with no good product.</w:t>
      </w:r>
    </w:p>
    <w:p>
      <w:pPr>
        <w:pStyle w:val="Heading1"/>
        <w:spacing w:after="180" w:before="360"/>
      </w:pPr>
      <w:r>
        <w:t xml:space="preserve">4.  Five business opportunities, scored</w:t>
      </w:r>
    </w:p>
    <w:p>
      <w:pPr>
        <w:spacing w:after="120" w:line="300"/>
      </w:pPr>
      <w:r>
        <w:t xml:space="preserve">Scoring methodology: each opportunity is rated 1–5 on four dimensions. Total is unweighted sum, max 20. These are subjective estimates intended to surface trade-offs, not to be precise.</w:t>
      </w:r>
    </w:p>
    <w:p>
      <w:pPr>
        <w:pStyle w:val="ListParagraph"/>
        <w:numPr>
          <w:ilvl w:val="0"/>
          <w:numId w:val="2"/>
        </w:numPr>
        <w:spacing w:after="80" w:line="280"/>
      </w:pPr>
      <w:r>
        <w:rPr>
          <w:b/>
          <w:bCs/>
        </w:rPr>
        <w:t xml:space="preserve">Market size: </w:t>
      </w:r>
      <w:r>
        <w:t xml:space="preserve">how big is the addressable population, in terms of revenue potential within 5 years.</w:t>
      </w:r>
    </w:p>
    <w:p>
      <w:pPr>
        <w:pStyle w:val="ListParagraph"/>
        <w:numPr>
          <w:ilvl w:val="0"/>
          <w:numId w:val="2"/>
        </w:numPr>
        <w:spacing w:after="80" w:line="280"/>
      </w:pPr>
      <w:r>
        <w:rPr>
          <w:b/>
          <w:bCs/>
        </w:rPr>
        <w:t xml:space="preserve">Defensibility: </w:t>
      </w:r>
      <w:r>
        <w:t xml:space="preserve">moat from scholarship credibility, regulatory licensing, data, or distribution.</w:t>
      </w:r>
    </w:p>
    <w:p>
      <w:pPr>
        <w:pStyle w:val="ListParagraph"/>
        <w:numPr>
          <w:ilvl w:val="0"/>
          <w:numId w:val="2"/>
        </w:numPr>
        <w:spacing w:after="80" w:line="280"/>
      </w:pPr>
      <w:r>
        <w:rPr>
          <w:b/>
          <w:bCs/>
        </w:rPr>
        <w:t xml:space="preserve">Regulatory simplicity: </w:t>
      </w:r>
      <w:r>
        <w:t xml:space="preserve">5 = no license needed; 1 = bank or insurance license required.</w:t>
      </w:r>
    </w:p>
    <w:p>
      <w:pPr>
        <w:pStyle w:val="ListParagraph"/>
        <w:numPr>
          <w:ilvl w:val="0"/>
          <w:numId w:val="2"/>
        </w:numPr>
        <w:spacing w:after="80" w:line="280"/>
      </w:pPr>
      <w:r>
        <w:rPr>
          <w:b/>
          <w:bCs/>
        </w:rPr>
        <w:t xml:space="preserve">Capital efficiency: </w:t>
      </w:r>
      <w:r>
        <w:t xml:space="preserve">5 = software margins, low capex; 1 = balance-sheet intensive.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80"/>
        <w:gridCol w:w="1280"/>
        <w:gridCol w:w="1800"/>
      </w:tblGrid>
      <w:tr>
        <w:trPr>
          <w:tblHeader/>
        </w:trPr>
        <w:tc>
          <w:tcPr>
            <w:tcW w:type="dxa" w:w="28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Opportunity</w:t>
            </w:r>
          </w:p>
        </w:tc>
        <w:tc>
          <w:tcPr>
            <w:tcW w:type="dxa" w:w="11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Market</w:t>
            </w:r>
          </w:p>
        </w:tc>
        <w:tc>
          <w:tcPr>
            <w:tcW w:type="dxa" w:w="11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Moat</w:t>
            </w:r>
          </w:p>
        </w:tc>
        <w:tc>
          <w:tcPr>
            <w:tcW w:type="dxa" w:w="12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Reg. simple</w:t>
            </w:r>
          </w:p>
        </w:tc>
        <w:tc>
          <w:tcPr>
            <w:tcW w:type="dxa" w:w="12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Capital eff.</w:t>
            </w:r>
          </w:p>
        </w:tc>
        <w:tc>
          <w:tcPr>
            <w:tcW w:type="dxa" w:w="180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pPr>
              <w:spacing w:after="0"/>
            </w:pPr>
            <w:r>
              <w:rPr>
                <w:b/>
                <w:bCs/>
                <w:color w:val="FFFFFF"/>
                <w:sz w:val="22"/>
                <w:szCs w:val="22"/>
              </w:rPr>
              <w:t xml:space="preserve">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1. Multi-threshold screening + scholar marketplace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b/>
                <w:bCs/>
                <w:sz w:val="20"/>
                <w:szCs w:val="20"/>
              </w:rPr>
              <w:t xml:space="preserve">18 /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2. Halal 401(k) platform for US employers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b/>
                <w:bCs/>
                <w:sz w:val="20"/>
                <w:szCs w:val="20"/>
              </w:rPr>
              <w:t xml:space="preserve">15 /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3. B2B halal-compliance API for existing fintechs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b/>
                <w:bCs/>
                <w:sz w:val="20"/>
                <w:szCs w:val="20"/>
              </w:rPr>
              <w:t xml:space="preserve">17 /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4. Retail sukuk distribution (US/UK/EU)</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b w:val="false"/>
                <w:bCs w:val="false"/>
                <w:sz w:val="20"/>
                <w:szCs w:val="20"/>
              </w:rPr>
              <w:t xml:space="preserve">13 /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20"/>
                <w:szCs w:val="20"/>
              </w:rPr>
              <w:t xml:space="preserve">5. Purification &amp; zakat automation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b/>
                <w:bCs/>
                <w:sz w:val="20"/>
                <w:szCs w:val="20"/>
              </w:rPr>
              <w:t xml:space="preserve">16 / 20</w:t>
            </w:r>
          </w:p>
        </w:tc>
      </w:tr>
    </w:tbl>
    <w:p>
      <w:pPr>
        <w:spacing w:after="120" w:line="300"/>
      </w:pPr>
      <w:r>
        <w:t xml:space="preserve"/>
      </w:r>
    </w:p>
    <w:p>
      <w:pPr>
        <w:pStyle w:val="Heading2"/>
        <w:spacing w:after="140" w:before="280"/>
      </w:pPr>
      <w:r>
        <w:t xml:space="preserve">Opportunity 1 — Multi-threshold screening + scholar marketplace</w:t>
      </w:r>
    </w:p>
    <w:p>
      <w:pPr>
        <w:spacing w:after="120" w:line="300"/>
      </w:pPr>
      <w:r>
        <w:t xml:space="preserve">Build the layer your friend was reaching for: a screener where the user picks their school, their scholar, or their own threshold settings (5% vs 6% vs 0% impermissible income, 30% vs 33% debt, etc.). Each portfolio holding is scored against the user’s chosen rubric, not a single AAOIFI default. Add a marketplace of named scholars whose rulings the user can subscribe to like a Spotify playlist — the scholar earns a revenue share, the platform takes a cut.</w:t>
      </w:r>
    </w:p>
    <w:p>
      <w:pPr>
        <w:pStyle w:val="ListParagraph"/>
        <w:numPr>
          <w:ilvl w:val="0"/>
          <w:numId w:val="2"/>
        </w:numPr>
        <w:spacing w:after="80" w:line="280"/>
      </w:pPr>
      <w:r>
        <w:t xml:space="preserve">Why now: HalalScreener and Hudood prove the demand exists. Neither has dominant scale. AI scholar Q&amp;A drastically lowers the cost of giving each user a personal-feeling experience.</w:t>
      </w:r>
    </w:p>
    <w:p>
      <w:pPr>
        <w:pStyle w:val="ListParagraph"/>
        <w:numPr>
          <w:ilvl w:val="0"/>
          <w:numId w:val="2"/>
        </w:numPr>
        <w:spacing w:after="80" w:line="280"/>
      </w:pPr>
      <w:r>
        <w:t xml:space="preserve">Revenue model: $5–$15/mo consumer subscription; scholar marketplace rev-share; affiliate brokerage.</w:t>
      </w:r>
    </w:p>
    <w:p>
      <w:pPr>
        <w:pStyle w:val="ListParagraph"/>
        <w:numPr>
          <w:ilvl w:val="0"/>
          <w:numId w:val="2"/>
        </w:numPr>
        <w:spacing w:after="80" w:line="280"/>
      </w:pPr>
      <w:r>
        <w:t xml:space="preserve">Risks: legitimacy. Scholar credentialing matters. Need a Shariah supervisory board from day one or you’ll be dismissed as another non-scholar app.</w:t>
      </w:r>
    </w:p>
    <w:p>
      <w:pPr>
        <w:pStyle w:val="ListParagraph"/>
        <w:numPr>
          <w:ilvl w:val="0"/>
          <w:numId w:val="2"/>
        </w:numPr>
        <w:spacing w:after="80" w:line="280"/>
      </w:pPr>
      <w:r>
        <w:t xml:space="preserve">First wedge: pick one underserved school (Ja’fari Shia, or strict Hanbali) that current apps don’t serve and win them before going horizontal.</w:t>
      </w:r>
    </w:p>
    <w:p>
      <w:pPr>
        <w:pStyle w:val="Heading2"/>
        <w:spacing w:after="140" w:before="280"/>
      </w:pPr>
      <w:r>
        <w:t xml:space="preserve">Opportunity 2 — Halal 401(k) platform for US employers</w:t>
      </w:r>
    </w:p>
    <w:p>
      <w:pPr>
        <w:spacing w:after="120" w:line="300"/>
      </w:pPr>
      <w:r>
        <w:t xml:space="preserve">Sell directly to HR / benefits teams at companies with significant Muslim employee populations: tech, healthcare, finance, universities, government. Offer a packaged Shariah-compliant fund menu, recordkeeping integration, and an employee-education layer. ShariaPortfolio does this but it’s small and not particularly tech-forward.</w:t>
      </w:r>
    </w:p>
    <w:p>
      <w:pPr>
        <w:pStyle w:val="ListParagraph"/>
        <w:numPr>
          <w:ilvl w:val="0"/>
          <w:numId w:val="2"/>
        </w:numPr>
        <w:spacing w:after="80" w:line="280"/>
      </w:pPr>
      <w:r>
        <w:t xml:space="preserve">Why now: 92% favorability lift is huge in HR-survey terms. Religious accommodation is becoming a recognized DEI workstream. Federal precedent supports adding halal options as a “de minimis” accommodation.</w:t>
      </w:r>
    </w:p>
    <w:p>
      <w:pPr>
        <w:pStyle w:val="ListParagraph"/>
        <w:numPr>
          <w:ilvl w:val="0"/>
          <w:numId w:val="2"/>
        </w:numPr>
        <w:spacing w:after="80" w:line="280"/>
      </w:pPr>
      <w:r>
        <w:t xml:space="preserve">Revenue model: AUM-based fee (15–40 bps) on the halal sleeve; SaaS fee to employers; possible margin on the funds themselves if you sub-advise.</w:t>
      </w:r>
    </w:p>
    <w:p>
      <w:pPr>
        <w:pStyle w:val="ListParagraph"/>
        <w:numPr>
          <w:ilvl w:val="0"/>
          <w:numId w:val="2"/>
        </w:numPr>
        <w:spacing w:after="80" w:line="280"/>
      </w:pPr>
      <w:r>
        <w:t xml:space="preserve">Risks: long enterprise sales cycle, fiduciary scrutiny, ERISA compliance overhead.</w:t>
      </w:r>
    </w:p>
    <w:p>
      <w:pPr>
        <w:pStyle w:val="ListParagraph"/>
        <w:numPr>
          <w:ilvl w:val="0"/>
          <w:numId w:val="2"/>
        </w:numPr>
        <w:spacing w:after="80" w:line="280"/>
      </w:pPr>
      <w:r>
        <w:t xml:space="preserve">First wedge: target 50 companies with named CEOs or founders who are practicing Muslims. They’re easier to close and become reference customers.</w:t>
      </w:r>
    </w:p>
    <w:p>
      <w:pPr>
        <w:pStyle w:val="Heading2"/>
        <w:spacing w:after="140" w:before="280"/>
      </w:pPr>
      <w:r>
        <w:t xml:space="preserve">Opportunity 3 — B2B halal-compliance API</w:t>
      </w:r>
    </w:p>
    <w:p>
      <w:pPr>
        <w:spacing w:after="120" w:line="300"/>
      </w:pPr>
      <w:r>
        <w:t xml:space="preserve">Don’t build another consumer app — sell screening as a service to every brokerage, robo, and neobank that wants a “halal mode” toggle but doesn’t want to build the scholarly infrastructure. One API call returns compliance status with full reasoning and a configurable threshold profile. Charge per call or per monitored portfolio.</w:t>
      </w:r>
    </w:p>
    <w:p>
      <w:pPr>
        <w:pStyle w:val="ListParagraph"/>
        <w:numPr>
          <w:ilvl w:val="0"/>
          <w:numId w:val="2"/>
        </w:numPr>
        <w:spacing w:after="80" w:line="280"/>
      </w:pPr>
      <w:r>
        <w:t xml:space="preserve">Why now: every neobank and robo is searching for differentiation. Religion is a clean wedge. Cost of building an in-house Shariah board is prohibitive for non-specialists.</w:t>
      </w:r>
    </w:p>
    <w:p>
      <w:pPr>
        <w:pStyle w:val="ListParagraph"/>
        <w:numPr>
          <w:ilvl w:val="0"/>
          <w:numId w:val="2"/>
        </w:numPr>
        <w:spacing w:after="80" w:line="280"/>
      </w:pPr>
      <w:r>
        <w:t xml:space="preserve">Revenue model: usage-based API ($0.001–$0.01 per call) + enterprise tier with custom standards.</w:t>
      </w:r>
    </w:p>
    <w:p>
      <w:pPr>
        <w:pStyle w:val="ListParagraph"/>
        <w:numPr>
          <w:ilvl w:val="0"/>
          <w:numId w:val="2"/>
        </w:numPr>
        <w:spacing w:after="80" w:line="280"/>
      </w:pPr>
      <w:r>
        <w:t xml:space="preserve">Risks: data licensing costs for financial statements; commoditization once two or three competitors ship.</w:t>
      </w:r>
    </w:p>
    <w:p>
      <w:pPr>
        <w:pStyle w:val="ListParagraph"/>
        <w:numPr>
          <w:ilvl w:val="0"/>
          <w:numId w:val="2"/>
        </w:numPr>
        <w:spacing w:after="80" w:line="280"/>
      </w:pPr>
      <w:r>
        <w:t xml:space="preserve">First wedge: integrate with one big retail brokerage (Robinhood, eToro, M1) as their halal mode. The platform becomes the de facto standard by being first to large distribution.</w:t>
      </w:r>
    </w:p>
    <w:p>
      <w:pPr>
        <w:pStyle w:val="Heading2"/>
        <w:spacing w:after="140" w:before="280"/>
      </w:pPr>
      <w:r>
        <w:t xml:space="preserve">Opportunity 4 — Retail sukuk distribution (Western markets)</w:t>
      </w:r>
    </w:p>
    <w:p>
      <w:pPr>
        <w:spacing w:after="120" w:line="300"/>
      </w:pPr>
      <w:r>
        <w:t xml:space="preserve">UAE proved retail sukuk works at scale. Bring it to the US, UK, and EU. Either as a regulated broker-dealer offering sovereign and corporate sukuk to retail Muslims, or as a tokenized issuance platform if regulators allow. Largest TAM of any idea here — every strict Muslim investor wants this product and has no good way to access it.</w:t>
      </w:r>
    </w:p>
    <w:p>
      <w:pPr>
        <w:pStyle w:val="ListParagraph"/>
        <w:numPr>
          <w:ilvl w:val="0"/>
          <w:numId w:val="2"/>
        </w:numPr>
        <w:spacing w:after="80" w:line="280"/>
      </w:pPr>
      <w:r>
        <w:t xml:space="preserve">Why now: rate cycle has made fixed-income attractive; Western Muslim populations are growing wealthier; UAE’s playbook is now public.</w:t>
      </w:r>
    </w:p>
    <w:p>
      <w:pPr>
        <w:pStyle w:val="ListParagraph"/>
        <w:numPr>
          <w:ilvl w:val="0"/>
          <w:numId w:val="2"/>
        </w:numPr>
        <w:spacing w:after="80" w:line="280"/>
      </w:pPr>
      <w:r>
        <w:t xml:space="preserve">Revenue model: bid-ask spreads on secondary, placement fees on primary issuance, custody fees.</w:t>
      </w:r>
    </w:p>
    <w:p>
      <w:pPr>
        <w:pStyle w:val="ListParagraph"/>
        <w:numPr>
          <w:ilvl w:val="0"/>
          <w:numId w:val="2"/>
        </w:numPr>
        <w:spacing w:after="80" w:line="280"/>
      </w:pPr>
      <w:r>
        <w:t xml:space="preserve">Risks: this is the hardest idea. Broker-dealer license (US: FINRA), sukuk inventory sourcing, custody infrastructure. Capital-intensive. Probably the right move 2–3 years after starting with idea #1 or #3 to fund it.</w:t>
      </w:r>
    </w:p>
    <w:p>
      <w:pPr>
        <w:pStyle w:val="ListParagraph"/>
        <w:numPr>
          <w:ilvl w:val="0"/>
          <w:numId w:val="2"/>
        </w:numPr>
        <w:spacing w:after="80" w:line="280"/>
      </w:pPr>
      <w:r>
        <w:t xml:space="preserve">First wedge: partner with an existing US broker-dealer as introducing broker; license their infrastructure rather than build.</w:t>
      </w:r>
    </w:p>
    <w:p>
      <w:pPr>
        <w:pStyle w:val="Heading2"/>
        <w:spacing w:after="140" w:before="280"/>
      </w:pPr>
      <w:r>
        <w:t xml:space="preserve">Opportunity 5 — Purification and zakat automation</w:t>
      </w:r>
    </w:p>
    <w:p>
      <w:pPr>
        <w:spacing w:after="120" w:line="300"/>
      </w:pPr>
      <w:r>
        <w:t xml:space="preserve">Every Shariah-compliant investor with mixed-compliance holdings is supposed to calculate and donate the impure portion of their dividends and gains. Almost nobody does it well because the math is painful. Build a one-tap product that tracks portfolio across brokerages, calculates purification owed and zakat owed, donates to user-chosen charities, and issues a tax-deductible receipt.</w:t>
      </w:r>
    </w:p>
    <w:p>
      <w:pPr>
        <w:pStyle w:val="ListParagraph"/>
        <w:numPr>
          <w:ilvl w:val="0"/>
          <w:numId w:val="2"/>
        </w:numPr>
        <w:spacing w:after="80" w:line="280"/>
      </w:pPr>
      <w:r>
        <w:t xml:space="preserve">Why now: regulatory-tech / open-banking infrastructure makes brokerage aggregation cheap. Religious obligation creates very low churn.</w:t>
      </w:r>
    </w:p>
    <w:p>
      <w:pPr>
        <w:pStyle w:val="ListParagraph"/>
        <w:numPr>
          <w:ilvl w:val="0"/>
          <w:numId w:val="2"/>
        </w:numPr>
        <w:spacing w:after="80" w:line="280"/>
      </w:pPr>
      <w:r>
        <w:t xml:space="preserve">Revenue model: 1–3% fee on donations processed (charity tech model); premium subscription for tax-optimized donating; affiliate revenue from charities.</w:t>
      </w:r>
    </w:p>
    <w:p>
      <w:pPr>
        <w:pStyle w:val="ListParagraph"/>
        <w:numPr>
          <w:ilvl w:val="0"/>
          <w:numId w:val="2"/>
        </w:numPr>
        <w:spacing w:after="80" w:line="280"/>
      </w:pPr>
      <w:r>
        <w:t xml:space="preserve">Risks: thin margins; competing against free Excel sheets; users may not want to share brokerage credentials.</w:t>
      </w:r>
    </w:p>
    <w:p>
      <w:pPr>
        <w:pStyle w:val="ListParagraph"/>
        <w:numPr>
          <w:ilvl w:val="0"/>
          <w:numId w:val="2"/>
        </w:numPr>
        <w:spacing w:after="80" w:line="280"/>
      </w:pPr>
      <w:r>
        <w:t xml:space="preserve">First wedge: bundle as a free feature inside a paid screener (idea #1). Use it as a retention and trust hook before spinning out.</w:t>
      </w:r>
    </w:p>
    <w:p>
      <w:pPr>
        <w:pStyle w:val="Heading1"/>
        <w:spacing w:after="180" w:before="360"/>
      </w:pPr>
      <w:r>
        <w:t xml:space="preserve">5.  If I had to pick one thing to build</w:t>
      </w:r>
    </w:p>
    <w:p>
      <w:pPr>
        <w:spacing w:after="120" w:line="300"/>
      </w:pPr>
      <w:r>
        <w:t xml:space="preserve">If you want the biggest score-to-feasibility ratio, the answer is Opportunity 1 (multi-threshold screener) as the wedge, with Opportunity 3 (B2B API) as the natural expansion once you’ve built the screening engine and scholar credibility.</w:t>
      </w:r>
    </w:p>
    <w:p>
      <w:pPr>
        <w:spacing w:after="120" w:line="300"/>
      </w:pPr>
      <w:r>
        <w:t xml:space="preserve">Logic: the engine, scholar board, and data pipeline you need for #1 are 80% of what you need for #3. You build a consumer product to validate the scholarship and win distribution; you then resell the engine to other fintechs at higher margin. This is the same playbook Plaid ran on Mint, or that Stripe ran on its early hosted-checkout product.</w:t>
      </w:r>
    </w:p>
    <w:p>
      <w:pPr>
        <w:spacing w:after="120" w:line="300"/>
      </w:pPr>
      <w:r>
        <w:t xml:space="preserve">The “6%” framing your friend used isn’t literally a market, but the spirit of his observation — that there are large unserved Muslim populations whose interpretation falls between the strict and permissive poles — is correct, and it’s the strongest reason to bet on a customization-first architecture rather than yet another single-standard app.</w:t>
      </w:r>
    </w:p>
    <w:p>
      <w:pPr>
        <w:pStyle w:val="Heading1"/>
        <w:spacing w:after="180" w:before="360"/>
      </w:pPr>
      <w:r>
        <w:t xml:space="preserve">6.  Honest caveats</w:t>
      </w:r>
    </w:p>
    <w:p>
      <w:pPr>
        <w:pStyle w:val="ListParagraph"/>
        <w:numPr>
          <w:ilvl w:val="0"/>
          <w:numId w:val="2"/>
        </w:numPr>
        <w:spacing w:after="80" w:line="280"/>
      </w:pPr>
      <w:r>
        <w:t xml:space="preserve">We could not source a publicly recognized “6%” threshold. The dominant figures are 0%, 5%, 30%, and 33%. If your friend has a specific scholar in mind, ask him for the citation; it may be a niche fatwa worth exploring as a wedge for opportunity 1.</w:t>
      </w:r>
    </w:p>
    <w:p>
      <w:pPr>
        <w:pStyle w:val="ListParagraph"/>
        <w:numPr>
          <w:ilvl w:val="0"/>
          <w:numId w:val="2"/>
        </w:numPr>
        <w:spacing w:after="80" w:line="280"/>
      </w:pPr>
      <w:r>
        <w:t xml:space="preserve">Market size figures vary widely across research firms ($5.2T vs $5.47T vs $7.7T-by-2033 projections). I used the more conservative S&amp;P / LSEG / Mordor numbers and rounded; treat them as directional.</w:t>
      </w:r>
    </w:p>
    <w:p>
      <w:pPr>
        <w:pStyle w:val="ListParagraph"/>
        <w:numPr>
          <w:ilvl w:val="0"/>
          <w:numId w:val="2"/>
        </w:numPr>
        <w:spacing w:after="80" w:line="280"/>
      </w:pPr>
      <w:r>
        <w:t xml:space="preserve">Shariah scholarship is real and political. Any product in this space without credible scholarly governance gets dismissed by the audience that matters most. Budget for an actual Shariah supervisory board.</w:t>
      </w:r>
    </w:p>
    <w:p>
      <w:pPr>
        <w:pStyle w:val="ListParagraph"/>
        <w:numPr>
          <w:ilvl w:val="0"/>
          <w:numId w:val="2"/>
        </w:numPr>
        <w:spacing w:after="80" w:line="280"/>
      </w:pPr>
      <w:r>
        <w:t xml:space="preserve">Regulatory exposure is real even for screening-only products in some jurisdictions (notably Malaysia and Saudi Arabia).</w:t>
      </w:r>
    </w:p>
    <w:p>
      <w:pPr>
        <w:pStyle w:val="ListParagraph"/>
        <w:numPr>
          <w:ilvl w:val="0"/>
          <w:numId w:val="2"/>
        </w:numPr>
        <w:spacing w:after="80" w:line="280"/>
      </w:pPr>
      <w:r>
        <w:t xml:space="preserve">This memo is not investment advice or a Shariah ruling — it’s a market scan. Anyone building should retain qualified scholars and securities counsel.</w:t>
      </w:r>
    </w:p>
    <w:p>
      <w:pPr>
        <w:pStyle w:val="Heading1"/>
        <w:spacing w:after="180" w:before="360"/>
      </w:pPr>
      <w:r>
        <w:t xml:space="preserve">Sources</w:t>
      </w:r>
    </w:p>
    <w:p>
      <w:pPr>
        <w:pStyle w:val="ListParagraph"/>
        <w:numPr>
          <w:ilvl w:val="0"/>
          <w:numId w:val="2"/>
        </w:numPr>
        <w:spacing w:after="60"/>
      </w:pPr>
      <w:hyperlink w:history="1" r:id="rId7ey04geqjahf_mqscd4cf">
        <w:r>
          <w:rPr>
            <w:rStyle w:val="Hyperlink"/>
            <w:color w:val="1F3A5F"/>
            <w:u w:val="single"/>
          </w:rPr>
          <w:t xml:space="preserve">AAOIFI Shariah Standard No. 21 — stock screening thresholds (halalsignalz)</w:t>
        </w:r>
      </w:hyperlink>
    </w:p>
    <w:p>
      <w:pPr>
        <w:pStyle w:val="ListParagraph"/>
        <w:numPr>
          <w:ilvl w:val="0"/>
          <w:numId w:val="2"/>
        </w:numPr>
        <w:spacing w:after="60"/>
      </w:pPr>
      <w:hyperlink w:history="1" r:id="rIdzecrf2bucqqz--uk_suij">
        <w:r>
          <w:rPr>
            <w:rStyle w:val="Hyperlink"/>
            <w:color w:val="1F3A5F"/>
            <w:u w:val="single"/>
          </w:rPr>
          <w:t xml:space="preserve">AAOIFI standards explained (Tabadulat)</w:t>
        </w:r>
      </w:hyperlink>
    </w:p>
    <w:p>
      <w:pPr>
        <w:pStyle w:val="ListParagraph"/>
        <w:numPr>
          <w:ilvl w:val="0"/>
          <w:numId w:val="2"/>
        </w:numPr>
        <w:spacing w:after="60"/>
      </w:pPr>
      <w:hyperlink w:history="1" r:id="rIdhbizbdbisbykyufcdgiuz">
        <w:r>
          <w:rPr>
            <w:rStyle w:val="Hyperlink"/>
            <w:color w:val="1F3A5F"/>
            <w:u w:val="single"/>
          </w:rPr>
          <w:t xml:space="preserve">Dow Jones Islamic Market Index methodology (S&amp;P)</w:t>
        </w:r>
      </w:hyperlink>
    </w:p>
    <w:p>
      <w:pPr>
        <w:pStyle w:val="ListParagraph"/>
        <w:numPr>
          <w:ilvl w:val="0"/>
          <w:numId w:val="2"/>
        </w:numPr>
        <w:spacing w:after="60"/>
      </w:pPr>
      <w:hyperlink w:history="1" r:id="rIdqcb-pi_0avcmpeehq2lwc">
        <w:r>
          <w:rPr>
            <w:rStyle w:val="Hyperlink"/>
            <w:color w:val="1F3A5F"/>
            <w:u w:val="single"/>
          </w:rPr>
          <w:t xml:space="preserve">MSCI Islamic Index Series methodology (May 2025)</w:t>
        </w:r>
      </w:hyperlink>
    </w:p>
    <w:p>
      <w:pPr>
        <w:pStyle w:val="ListParagraph"/>
        <w:numPr>
          <w:ilvl w:val="0"/>
          <w:numId w:val="2"/>
        </w:numPr>
        <w:spacing w:after="60"/>
      </w:pPr>
      <w:hyperlink w:history="1" r:id="rIdeybhy3s6iebftcuoljnz2">
        <w:r>
          <w:rPr>
            <w:rStyle w:val="Hyperlink"/>
            <w:color w:val="1F3A5F"/>
            <w:u w:val="single"/>
          </w:rPr>
          <w:t xml:space="preserve">Malaysian SAC revised screening methodology FAQ (SC Malaysia)</w:t>
        </w:r>
      </w:hyperlink>
    </w:p>
    <w:p>
      <w:pPr>
        <w:pStyle w:val="ListParagraph"/>
        <w:numPr>
          <w:ilvl w:val="0"/>
          <w:numId w:val="2"/>
        </w:numPr>
        <w:spacing w:after="60"/>
      </w:pPr>
      <w:hyperlink w:history="1" r:id="rIdwfyetx6i4b_9jwa2wwhjx">
        <w:r>
          <w:rPr>
            <w:rStyle w:val="Hyperlink"/>
            <w:color w:val="1F3A5F"/>
            <w:u w:val="single"/>
          </w:rPr>
          <w:t xml:space="preserve">Making sense of the 30% rule (Amanah Advisors)</w:t>
        </w:r>
      </w:hyperlink>
    </w:p>
    <w:p>
      <w:pPr>
        <w:pStyle w:val="ListParagraph"/>
        <w:numPr>
          <w:ilvl w:val="0"/>
          <w:numId w:val="2"/>
        </w:numPr>
        <w:spacing w:after="60"/>
      </w:pPr>
      <w:hyperlink w:history="1" r:id="rId-0eksvemwjgerrtfd0l46">
        <w:r>
          <w:rPr>
            <w:rStyle w:val="Hyperlink"/>
            <w:color w:val="1F3A5F"/>
            <w:u w:val="single"/>
          </w:rPr>
          <w:t xml:space="preserve">Sharia screening thresholds explained (IslamicStock)</w:t>
        </w:r>
      </w:hyperlink>
    </w:p>
    <w:p>
      <w:pPr>
        <w:pStyle w:val="ListParagraph"/>
        <w:numPr>
          <w:ilvl w:val="0"/>
          <w:numId w:val="2"/>
        </w:numPr>
        <w:spacing w:after="60"/>
      </w:pPr>
      <w:hyperlink w:history="1" r:id="rIdhujnm_dyjpauw6s0zktzz">
        <w:r>
          <w:rPr>
            <w:rStyle w:val="Hyperlink"/>
            <w:color w:val="1F3A5F"/>
            <w:u w:val="single"/>
          </w:rPr>
          <w:t xml:space="preserve">Islamic Finance 2025–2026 outlook (S&amp;P)</w:t>
        </w:r>
      </w:hyperlink>
    </w:p>
    <w:p>
      <w:pPr>
        <w:pStyle w:val="ListParagraph"/>
        <w:numPr>
          <w:ilvl w:val="0"/>
          <w:numId w:val="2"/>
        </w:numPr>
        <w:spacing w:after="60"/>
      </w:pPr>
      <w:hyperlink w:history="1" r:id="rIdfyw32mcxxob4lap3o81ca">
        <w:r>
          <w:rPr>
            <w:rStyle w:val="Hyperlink"/>
            <w:color w:val="1F3A5F"/>
            <w:u w:val="single"/>
          </w:rPr>
          <w:t xml:space="preserve">Global Islamic finance set to hit $6T in 2026 (Al Huda)</w:t>
        </w:r>
      </w:hyperlink>
    </w:p>
    <w:p>
      <w:pPr>
        <w:pStyle w:val="ListParagraph"/>
        <w:numPr>
          <w:ilvl w:val="0"/>
          <w:numId w:val="2"/>
        </w:numPr>
        <w:spacing w:after="60"/>
      </w:pPr>
      <w:hyperlink w:history="1" r:id="rIdtkcdkmgd9lwkercthf_sp">
        <w:r>
          <w:rPr>
            <w:rStyle w:val="Hyperlink"/>
            <w:color w:val="1F3A5F"/>
            <w:u w:val="single"/>
          </w:rPr>
          <w:t xml:space="preserve">ICD – LSEG Islamic Finance Development Report 2025</w:t>
        </w:r>
      </w:hyperlink>
    </w:p>
    <w:p>
      <w:pPr>
        <w:pStyle w:val="ListParagraph"/>
        <w:numPr>
          <w:ilvl w:val="0"/>
          <w:numId w:val="2"/>
        </w:numPr>
        <w:spacing w:after="60"/>
      </w:pPr>
      <w:hyperlink w:history="1" r:id="rIdm6mg8eoenq4ycw5mvlfbd">
        <w:r>
          <w:rPr>
            <w:rStyle w:val="Hyperlink"/>
            <w:color w:val="1F3A5F"/>
            <w:u w:val="single"/>
          </w:rPr>
          <w:t xml:space="preserve">Path to Islamic fintech’s $341B global opportunity (Economy ME)</w:t>
        </w:r>
      </w:hyperlink>
    </w:p>
    <w:p>
      <w:pPr>
        <w:pStyle w:val="ListParagraph"/>
        <w:numPr>
          <w:ilvl w:val="0"/>
          <w:numId w:val="2"/>
        </w:numPr>
        <w:spacing w:after="60"/>
      </w:pPr>
      <w:hyperlink w:history="1" r:id="rIdo4liw8-13jtxsrqbsicwr">
        <w:r>
          <w:rPr>
            <w:rStyle w:val="Hyperlink"/>
            <w:color w:val="1F3A5F"/>
            <w:u w:val="single"/>
          </w:rPr>
          <w:t xml:space="preserve">UAE Retail Sukuk Initiative (Ministry of Finance)</w:t>
        </w:r>
      </w:hyperlink>
    </w:p>
    <w:p>
      <w:pPr>
        <w:pStyle w:val="ListParagraph"/>
        <w:numPr>
          <w:ilvl w:val="0"/>
          <w:numId w:val="2"/>
        </w:numPr>
        <w:spacing w:after="60"/>
      </w:pPr>
      <w:hyperlink w:history="1" r:id="rIdrczmpdm4z99llltyclm4b">
        <w:r>
          <w:rPr>
            <w:rStyle w:val="Hyperlink"/>
            <w:color w:val="1F3A5F"/>
            <w:u w:val="single"/>
          </w:rPr>
          <w:t xml:space="preserve">Best halal investing apps 2026 (Zoya blog)</w:t>
        </w:r>
      </w:hyperlink>
    </w:p>
    <w:p>
      <w:pPr>
        <w:pStyle w:val="ListParagraph"/>
        <w:numPr>
          <w:ilvl w:val="0"/>
          <w:numId w:val="2"/>
        </w:numPr>
        <w:spacing w:after="60"/>
      </w:pPr>
      <w:hyperlink w:history="1" r:id="rIddtpgibn0ubgstfzlm50ts">
        <w:r>
          <w:rPr>
            <w:rStyle w:val="Hyperlink"/>
            <w:color w:val="1F3A5F"/>
            <w:u w:val="single"/>
          </w:rPr>
          <w:t xml:space="preserve">HalalScreener (multi-madhab AI screener)</w:t>
        </w:r>
      </w:hyperlink>
    </w:p>
    <w:p>
      <w:pPr>
        <w:pStyle w:val="ListParagraph"/>
        <w:numPr>
          <w:ilvl w:val="0"/>
          <w:numId w:val="2"/>
        </w:numPr>
        <w:spacing w:after="60"/>
      </w:pPr>
      <w:hyperlink w:history="1" r:id="rIdhip1wcotzyihxoel67022">
        <w:r>
          <w:rPr>
            <w:rStyle w:val="Hyperlink"/>
            <w:color w:val="1F3A5F"/>
            <w:u w:val="single"/>
          </w:rPr>
          <w:t xml:space="preserve">Hudood (multi-standard cross-checking)</w:t>
        </w:r>
      </w:hyperlink>
    </w:p>
    <w:p>
      <w:pPr>
        <w:pStyle w:val="ListParagraph"/>
        <w:numPr>
          <w:ilvl w:val="0"/>
          <w:numId w:val="2"/>
        </w:numPr>
        <w:spacing w:after="60"/>
      </w:pPr>
      <w:hyperlink w:history="1" r:id="rIdcybfjvh3dqei4-dqao0aw">
        <w:r>
          <w:rPr>
            <w:rStyle w:val="Hyperlink"/>
            <w:color w:val="1F3A5F"/>
            <w:u w:val="single"/>
          </w:rPr>
          <w:t xml:space="preserve">Wahed Invest detailed review (IFG)</w:t>
        </w:r>
      </w:hyperlink>
    </w:p>
    <w:p>
      <w:pPr>
        <w:pStyle w:val="ListParagraph"/>
        <w:numPr>
          <w:ilvl w:val="0"/>
          <w:numId w:val="2"/>
        </w:numPr>
        <w:spacing w:after="60"/>
      </w:pPr>
      <w:hyperlink w:history="1" r:id="rId8de57bkiwp3v3yaprc7wg">
        <w:r>
          <w:rPr>
            <w:rStyle w:val="Hyperlink"/>
            <w:color w:val="1F3A5F"/>
            <w:u w:val="single"/>
          </w:rPr>
          <w:t xml:space="preserve">Halal 401(k) employee demand (i4cp)</w:t>
        </w:r>
      </w:hyperlink>
    </w:p>
    <w:p>
      <w:pPr>
        <w:pStyle w:val="ListParagraph"/>
        <w:numPr>
          <w:ilvl w:val="0"/>
          <w:numId w:val="2"/>
        </w:numPr>
        <w:spacing w:after="60"/>
      </w:pPr>
      <w:hyperlink w:history="1" r:id="rIdd7_jidf79r01ahzzxn-te">
        <w:r>
          <w:rPr>
            <w:rStyle w:val="Hyperlink"/>
            <w:color w:val="1F3A5F"/>
            <w:u w:val="single"/>
          </w:rPr>
          <w:t xml:space="preserve">Religious accommodation in 401(k) plans (McMahon Berger)</w:t>
        </w:r>
      </w:hyperlink>
    </w:p>
    <w:p>
      <w:pPr>
        <w:pStyle w:val="ListParagraph"/>
        <w:numPr>
          <w:ilvl w:val="0"/>
          <w:numId w:val="2"/>
        </w:numPr>
        <w:spacing w:after="60"/>
      </w:pPr>
      <w:hyperlink w:history="1" r:id="rIdyezaix0usoizntr2p_14j">
        <w:r>
          <w:rPr>
            <w:rStyle w:val="Hyperlink"/>
            <w:color w:val="1F3A5F"/>
            <w:u w:val="single"/>
          </w:rPr>
          <w:t xml:space="preserve">ShariaPortfolio 401(k) offerings</w:t>
        </w:r>
      </w:hyperlink>
    </w:p>
    <w:p>
      <w:pPr>
        <w:pStyle w:val="ListParagraph"/>
        <w:numPr>
          <w:ilvl w:val="0"/>
          <w:numId w:val="2"/>
        </w:numPr>
        <w:spacing w:after="60"/>
      </w:pPr>
      <w:hyperlink w:history="1" r:id="rId3vj-duh25m3umom5_akcf">
        <w:r>
          <w:rPr>
            <w:rStyle w:val="Hyperlink"/>
            <w:color w:val="1F3A5F"/>
            <w:u w:val="single"/>
          </w:rPr>
          <w:t xml:space="preserve">Dividend purification guide (Islamicly)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The Shariah Threshold Gap in Halal Investing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ey04geqjahf_mqscd4cf" Type="http://schemas.openxmlformats.org/officeDocument/2006/relationships/hyperlink" Target="https://www.halalsignalz.com/blog/aaofi-ratio-explained" TargetMode="External"/><Relationship Id="rIdzecrf2bucqqz--uk_suij" Type="http://schemas.openxmlformats.org/officeDocument/2006/relationships/hyperlink" Target="https://blog.tabadulat.com/aaoifi-standards-explained-what-makes-a-stock-halal/" TargetMode="External"/><Relationship Id="rIdhbizbdbisbykyufcdgiuz" Type="http://schemas.openxmlformats.org/officeDocument/2006/relationships/hyperlink" Target="https://www.spglobal.com/spdji/en/documents/methodologies/methodology-dj-islamic-market-indices.pdf" TargetMode="External"/><Relationship Id="rIdqcb-pi_0avcmpeehq2lwc" Type="http://schemas.openxmlformats.org/officeDocument/2006/relationships/hyperlink" Target="https://www.msci.com/documents/10199/8a59e89f-5134-de21-6a03-082ecfaa9e42" TargetMode="External"/><Relationship Id="rIdeybhy3s6iebftcuoljnz2" Type="http://schemas.openxmlformats.org/officeDocument/2006/relationships/hyperlink" Target="https://www.sc.com.my/regulation/regulatory-faqs/frequently-asked-questions-on-revised-shariah-screening-methodology" TargetMode="External"/><Relationship Id="rIdwfyetx6i4b_9jwa2wwhjx" Type="http://schemas.openxmlformats.org/officeDocument/2006/relationships/hyperlink" Target="https://amanahadvisors.com/making-sense-of-the-30-rule-in-islamic-finance/" TargetMode="External"/><Relationship Id="rId-0eksvemwjgerrtfd0l46" Type="http://schemas.openxmlformats.org/officeDocument/2006/relationships/hyperlink" Target="https://blog.islamicstock.in/sharia-screening-thresholds/" TargetMode="External"/><Relationship Id="rIdhujnm_dyjpauw6s0zktzz" Type="http://schemas.openxmlformats.org/officeDocument/2006/relationships/hyperlink" Target="https://www.spglobal.com/ratings/en/regulatory/article/250417-islamic-finance-2025-2026-resilient-growth-amid-upcoming-headwinds-s13453768" TargetMode="External"/><Relationship Id="rIdfyw32mcxxob4lap3o81ca" Type="http://schemas.openxmlformats.org/officeDocument/2006/relationships/hyperlink" Target="https://alhudafinancial.com/blog/global-islamic-finance-set-to-hit-6-trillion-in-2026-as-industry-posts-strong-double-digit-growth/" TargetMode="External"/><Relationship Id="rIdtkcdkmgd9lwkercthf_sp" Type="http://schemas.openxmlformats.org/officeDocument/2006/relationships/hyperlink" Target="https://www.lseg.com/content/dam/data-analytics/en_us/documents/reports/lseg-islamic-finance-development-indicator-2025.pdf" TargetMode="External"/><Relationship Id="rIdm6mg8eoenq4ycw5mvlfbd" Type="http://schemas.openxmlformats.org/officeDocument/2006/relationships/hyperlink" Target="https://economymiddleeast.com/news/the-path-to-islamic-fintechs-341-billion-global-opportunity/" TargetMode="External"/><Relationship Id="rIdo4liw8-13jtxsrqbsicwr" Type="http://schemas.openxmlformats.org/officeDocument/2006/relationships/hyperlink" Target="https://mof.gov.ae/en/news/ministry-of-finance-announces-retail-sukuk-initiative-enabling-citizens-and-residents-to-invest-in-islamic-t-sukuk-in-collaboration-with-participating-banks-across-the-uae/" TargetMode="External"/><Relationship Id="rIdrczmpdm4z99llltyclm4b" Type="http://schemas.openxmlformats.org/officeDocument/2006/relationships/hyperlink" Target="https://blog.zoya.finance/best-halal-investing-apps/" TargetMode="External"/><Relationship Id="rIddtpgibn0ubgstfzlm50ts" Type="http://schemas.openxmlformats.org/officeDocument/2006/relationships/hyperlink" Target="https://halalscreener.app/en" TargetMode="External"/><Relationship Id="rIdhip1wcotzyihxoel67022" Type="http://schemas.openxmlformats.org/officeDocument/2006/relationships/hyperlink" Target="https://hudood.com/" TargetMode="External"/><Relationship Id="rIdcybfjvh3dqei4-dqao0aw" Type="http://schemas.openxmlformats.org/officeDocument/2006/relationships/hyperlink" Target="https://www.islamicfinanceguru.com/articles/wahed-invest-a-detailed-review-and-how-to-use-it" TargetMode="External"/><Relationship Id="rId8de57bkiwp3v3yaprc7wg" Type="http://schemas.openxmlformats.org/officeDocument/2006/relationships/hyperlink" Target="https://www.i4cp.com/productivity-blog/2010/08/17/why-muslim-employees-arent-participating-in-your-companys-401-k" TargetMode="External"/><Relationship Id="rIdd7_jidf79r01ahzzxn-te" Type="http://schemas.openxmlformats.org/officeDocument/2006/relationships/hyperlink" Target="https://www.mcmahonberger.com/news/401k-plan-religious-accommodation-sharia-employment-law/" TargetMode="External"/><Relationship Id="rIdyezaix0usoizntr2p_14j" Type="http://schemas.openxmlformats.org/officeDocument/2006/relationships/hyperlink" Target="https://shariaportfolio.com/services/401k/" TargetMode="External"/><Relationship Id="rId3vj-duh25m3umom5_akcf" Type="http://schemas.openxmlformats.org/officeDocument/2006/relationships/hyperlink" Target="https://blog.islamicly.com/halal-investing-guide/purification-of-shariah-compliant-equities/"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Shariah Threshold Gap in Halal Investing</dc:title>
  <dc:creator>Claude</dc:creator>
  <cp:lastModifiedBy>Un-named</cp:lastModifiedBy>
  <cp:revision>1</cp:revision>
  <dcterms:created xsi:type="dcterms:W3CDTF">2026-05-17T17:57:23.999Z</dcterms:created>
  <dcterms:modified xsi:type="dcterms:W3CDTF">2026-05-17T17:57:23.999Z</dcterms:modified>
</cp:coreProperties>
</file>

<file path=docProps/custom.xml><?xml version="1.0" encoding="utf-8"?>
<Properties xmlns="http://schemas.openxmlformats.org/officeDocument/2006/custom-properties" xmlns:vt="http://schemas.openxmlformats.org/officeDocument/2006/docPropsVTypes"/>
</file>