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jc w:val="left"/>
        <w:rPr>
          <w:b/>
          <w:bCs/>
          <w:color w:val="1F3A5F"/>
          <w:sz w:val="36"/>
          <w:szCs w:val="36"/>
        </w:rPr>
      </w:pPr>
      <w:r>
        <w:rPr>
          <w:b/>
          <w:bCs/>
          <w:color w:val="1F3A5F"/>
          <w:sz w:val="36"/>
          <w:szCs w:val="36"/>
        </w:rPr>
        <w:t xml:space="preserve">Investor FAQ</w:t>
      </w:r>
    </w:p>
    <w:p>
      <w:pPr>
        <w:spacing w:after="120" w:line="280"/>
        <w:rPr>
          <w:i/>
          <w:iCs/>
          <w:color w:val="666666"/>
          <w:sz w:val="22"/>
          <w:szCs w:val="22"/>
        </w:rPr>
      </w:pPr>
      <w:r>
        <w:rPr>
          <w:i/>
          <w:iCs/>
          <w:color w:val="666666"/>
          <w:sz w:val="22"/>
          <w:szCs w:val="22"/>
        </w:rPr>
        <w:t xml:space="preserve">Fifty answers to the questions investors actually ask.</w:t>
      </w:r>
    </w:p>
    <w:p>
      <w:pPr>
        <w:spacing w:after="120"/>
      </w:pPr>
      <w:r>
        <w:t xml:space="preserve"/>
      </w:r>
    </w:p>
    <w:p>
      <w:pPr>
        <w:spacing w:after="120" w:line="280"/>
        <w:rPr>
          <w:i/>
          <w:iCs/>
          <w:color w:val="555555"/>
          <w:sz w:val="20"/>
          <w:szCs w:val="20"/>
        </w:rPr>
      </w:pPr>
      <w:r>
        <w:rPr>
          <w:i/>
          <w:iCs/>
          <w:color w:val="555555"/>
          <w:sz w:val="20"/>
          <w:szCs w:val="20"/>
        </w:rPr>
        <w:t xml:space="preserve">This document is shared after a first conversation has gone well. It anticipates and answers the questions investors raise during due diligence. Where an answer changes over time (e.g., named scholar status, paying users), the live state is published on the Mizan internal data room page accessible via the link sent with each draft term sheet.</w:t>
      </w:r>
    </w:p>
    <w:p>
      <w:pPr>
        <w:pStyle w:val="Heading1"/>
        <w:spacing w:after="160" w:before="320"/>
      </w:pPr>
      <w:r>
        <w:t xml:space="preserve">Market &amp; opportunity</w:t>
      </w:r>
    </w:p>
    <w:p>
      <w:pPr>
        <w:spacing w:after="120" w:line="280"/>
        <w:rPr>
          <w:b/>
          <w:bCs/>
          <w:sz w:val="22"/>
          <w:szCs w:val="22"/>
        </w:rPr>
      </w:pPr>
      <w:r>
        <w:rPr>
          <w:b/>
          <w:bCs/>
          <w:sz w:val="22"/>
          <w:szCs w:val="22"/>
        </w:rPr>
        <w:t xml:space="preserve">Q1.  How big is the addressable market actually?</w:t>
      </w:r>
    </w:p>
    <w:p>
      <w:pPr>
        <w:spacing w:after="120" w:line="280"/>
        <w:rPr>
          <w:sz w:val="22"/>
          <w:szCs w:val="22"/>
        </w:rPr>
      </w:pPr>
      <w:r>
        <w:rPr>
          <w:sz w:val="22"/>
          <w:szCs w:val="22"/>
        </w:rPr>
        <w:t xml:space="preserve">$5.2 trillion in Islamic finance assets globally (S&amp;P Global Ratings, 2025), growing 11-15% annually. The Islamic fintech subset is projected at $341B by 2029 (DinarStandard / Economy Middle East). Mizan's beachhead — 5M Western Hanafi-leaning diaspora investors — is a $300M-500M ARR opportunity at full saturation, of which we believe 25-30% is reachable in 5 years.</w:t>
      </w:r>
    </w:p>
    <w:p>
      <w:pPr>
        <w:spacing w:after="120" w:line="280"/>
        <w:rPr>
          <w:b/>
          <w:bCs/>
          <w:sz w:val="22"/>
          <w:szCs w:val="22"/>
        </w:rPr>
      </w:pPr>
      <w:r>
        <w:rPr>
          <w:b/>
          <w:bCs/>
          <w:sz w:val="22"/>
          <w:szCs w:val="22"/>
        </w:rPr>
        <w:t xml:space="preserve">Q2.  Aren't most Muslims served by existing apps already?</w:t>
      </w:r>
    </w:p>
    <w:p>
      <w:pPr>
        <w:spacing w:after="120" w:line="280"/>
        <w:rPr>
          <w:sz w:val="22"/>
          <w:szCs w:val="22"/>
        </w:rPr>
      </w:pPr>
      <w:r>
        <w:rPr>
          <w:sz w:val="22"/>
          <w:szCs w:val="22"/>
        </w:rPr>
        <w:t xml:space="preserve">No. Wahed has ~300K accounts globally; Zoya has ~100K paying. Together, less than 1M paying users across all major halal apps. The Muslim population using stock-based investments is in the tens of millions. Penetration is below 5%.</w:t>
      </w:r>
    </w:p>
    <w:p>
      <w:pPr>
        <w:spacing w:after="120" w:line="280"/>
        <w:rPr>
          <w:b/>
          <w:bCs/>
          <w:sz w:val="22"/>
          <w:szCs w:val="22"/>
        </w:rPr>
      </w:pPr>
      <w:r>
        <w:rPr>
          <w:b/>
          <w:bCs/>
          <w:sz w:val="22"/>
          <w:szCs w:val="22"/>
        </w:rPr>
        <w:t xml:space="preserve">Q3.  Isn't this a religiously bounded market — capped TAM?</w:t>
      </w:r>
    </w:p>
    <w:p>
      <w:pPr>
        <w:spacing w:after="120" w:line="280"/>
        <w:rPr>
          <w:sz w:val="22"/>
          <w:szCs w:val="22"/>
        </w:rPr>
      </w:pPr>
      <w:r>
        <w:rPr>
          <w:sz w:val="22"/>
          <w:szCs w:val="22"/>
        </w:rPr>
        <w:t xml:space="preserve">Two billion people today, three billion by 2060. That's bigger than every English-speaking market combined. Bounded by religion, yes; small, no.</w:t>
      </w:r>
    </w:p>
    <w:p>
      <w:pPr>
        <w:spacing w:after="120" w:line="280"/>
        <w:rPr>
          <w:b/>
          <w:bCs/>
          <w:sz w:val="22"/>
          <w:szCs w:val="22"/>
        </w:rPr>
      </w:pPr>
      <w:r>
        <w:rPr>
          <w:b/>
          <w:bCs/>
          <w:sz w:val="22"/>
          <w:szCs w:val="22"/>
        </w:rPr>
        <w:t xml:space="preserve">Q4.  What's the unit-level cohort growth picture?</w:t>
      </w:r>
    </w:p>
    <w:p>
      <w:pPr>
        <w:spacing w:after="120" w:line="280"/>
        <w:rPr>
          <w:sz w:val="22"/>
          <w:szCs w:val="22"/>
        </w:rPr>
      </w:pPr>
      <w:r>
        <w:rPr>
          <w:sz w:val="22"/>
          <w:szCs w:val="22"/>
        </w:rPr>
        <w:t xml:space="preserve">Year 1: 5K paying users (78% gross margin). Year 2: 30K. Year 3: 90K. ARPU rises from $78 to $110 as Pro mix increases. LTV:CAC ratio of 12:1 in Y1 — religion creates retention.</w:t>
      </w:r>
    </w:p>
    <w:p>
      <w:pPr>
        <w:spacing w:after="120" w:line="280"/>
        <w:rPr>
          <w:b/>
          <w:bCs/>
          <w:sz w:val="22"/>
          <w:szCs w:val="22"/>
        </w:rPr>
      </w:pPr>
      <w:r>
        <w:rPr>
          <w:b/>
          <w:bCs/>
          <w:sz w:val="22"/>
          <w:szCs w:val="22"/>
        </w:rPr>
        <w:t xml:space="preserve">Q5.  Where does the $341B Islamic fintech number come from?</w:t>
      </w:r>
    </w:p>
    <w:p>
      <w:pPr>
        <w:spacing w:after="120" w:line="280"/>
        <w:rPr>
          <w:sz w:val="22"/>
          <w:szCs w:val="22"/>
        </w:rPr>
      </w:pPr>
      <w:r>
        <w:rPr>
          <w:sz w:val="22"/>
          <w:szCs w:val="22"/>
        </w:rPr>
        <w:t xml:space="preserve">DinarStandard's Global Islamic FinTech Report and Economy Middle East analysis based on McKinsey + LSEG inputs. We can share the source PDFs in the data room.</w:t>
      </w:r>
    </w:p>
    <w:p>
      <w:pPr>
        <w:pStyle w:val="Heading1"/>
        <w:spacing w:after="160" w:before="320"/>
      </w:pPr>
      <w:r>
        <w:t xml:space="preserve">Product &amp; differentiation</w:t>
      </w:r>
    </w:p>
    <w:p>
      <w:pPr>
        <w:spacing w:after="120" w:line="280"/>
        <w:rPr>
          <w:b/>
          <w:bCs/>
          <w:sz w:val="22"/>
          <w:szCs w:val="22"/>
        </w:rPr>
      </w:pPr>
      <w:r>
        <w:rPr>
          <w:b/>
          <w:bCs/>
          <w:sz w:val="22"/>
          <w:szCs w:val="22"/>
        </w:rPr>
        <w:t xml:space="preserve">Q6.  What does Mizan do that Zoya doesn't?</w:t>
      </w:r>
    </w:p>
    <w:p>
      <w:pPr>
        <w:spacing w:after="120" w:line="280"/>
        <w:rPr>
          <w:sz w:val="22"/>
          <w:szCs w:val="22"/>
        </w:rPr>
      </w:pPr>
      <w:r>
        <w:rPr>
          <w:sz w:val="22"/>
          <w:szCs w:val="22"/>
        </w:rPr>
        <w:t xml:space="preserve">Three things. (1) Multi-scholar screening as architecture, not toggle. Zoya defaults to AAOIFI; Mizan ships six scholar profiles and a Custom builder. (2) Implements Mufti Taqi Usmani's illiquid-asset floor that Zoya doesn't. (3) Capital-gains purification automation for scholars who require it (Mufti Taqi, Ja'fari). Zoya covers dividends only.</w:t>
      </w:r>
    </w:p>
    <w:p>
      <w:pPr>
        <w:spacing w:after="120" w:line="280"/>
        <w:rPr>
          <w:b/>
          <w:bCs/>
          <w:sz w:val="22"/>
          <w:szCs w:val="22"/>
        </w:rPr>
      </w:pPr>
      <w:r>
        <w:rPr>
          <w:b/>
          <w:bCs/>
          <w:sz w:val="22"/>
          <w:szCs w:val="22"/>
        </w:rPr>
        <w:t xml:space="preserve">Q7.  Can Zoya just add multi-scholar?</w:t>
      </w:r>
    </w:p>
    <w:p>
      <w:pPr>
        <w:spacing w:after="120" w:line="280"/>
        <w:rPr>
          <w:sz w:val="22"/>
          <w:szCs w:val="22"/>
        </w:rPr>
      </w:pPr>
      <w:r>
        <w:rPr>
          <w:sz w:val="22"/>
          <w:szCs w:val="22"/>
        </w:rPr>
        <w:t xml:space="preserve">Technically yes, the feature. But the moat is named scholarly relationships and the trust of the Hanafi/Shia/strict audiences they don't currently serve. Mizan's Shariah board (Mufti Faraz Adam as Chair, Sheikh Joe Bradford as Member, Al-Mahdi Institute as Member) is signed under exclusivity. Zoya bolting on multi-scholar without scholars would feel like a marketing move and the target audiences would see through it.</w:t>
      </w:r>
    </w:p>
    <w:p>
      <w:pPr>
        <w:spacing w:after="120" w:line="280"/>
        <w:rPr>
          <w:b/>
          <w:bCs/>
          <w:sz w:val="22"/>
          <w:szCs w:val="22"/>
        </w:rPr>
      </w:pPr>
      <w:r>
        <w:rPr>
          <w:b/>
          <w:bCs/>
          <w:sz w:val="22"/>
          <w:szCs w:val="22"/>
        </w:rPr>
        <w:t xml:space="preserve">Q8.  What about HalalScreener and Hudood? Aren't they doing the same thing?</w:t>
      </w:r>
    </w:p>
    <w:p>
      <w:pPr>
        <w:spacing w:after="120" w:line="280"/>
        <w:rPr>
          <w:sz w:val="22"/>
          <w:szCs w:val="22"/>
        </w:rPr>
      </w:pPr>
      <w:r>
        <w:rPr>
          <w:sz w:val="22"/>
          <w:szCs w:val="22"/>
        </w:rPr>
        <w:t xml:space="preserve">HalalScreener has a multi-madhab AI Q&amp;A; Hudood cross-references multiple standards. Both are smaller, less polished, and lack named scholarly governance. Closest to our thesis but underexecuting. Mizan's depth of methodology implementation and the named scholar relationships are the wedge.</w:t>
      </w:r>
    </w:p>
    <w:p>
      <w:pPr>
        <w:spacing w:after="120" w:line="280"/>
        <w:rPr>
          <w:b/>
          <w:bCs/>
          <w:sz w:val="22"/>
          <w:szCs w:val="22"/>
        </w:rPr>
      </w:pPr>
      <w:r>
        <w:rPr>
          <w:b/>
          <w:bCs/>
          <w:sz w:val="22"/>
          <w:szCs w:val="22"/>
        </w:rPr>
        <w:t xml:space="preserve">Q9.  Is this really 'halal' if it's still using interest-bearing accounts at the bank?</w:t>
      </w:r>
    </w:p>
    <w:p>
      <w:pPr>
        <w:spacing w:after="120" w:line="280"/>
        <w:rPr>
          <w:sz w:val="22"/>
          <w:szCs w:val="22"/>
        </w:rPr>
      </w:pPr>
      <w:r>
        <w:rPr>
          <w:sz w:val="22"/>
          <w:szCs w:val="22"/>
        </w:rPr>
        <w:t xml:space="preserve">Mizan provides screening as an information service, not banking or asset management. The user's brokerage account is theirs; we don't touch it. We tell them what their scholar says about a security. We are not a bank; this is the correct positioning to stay outside SFC banking regulation.</w:t>
      </w:r>
    </w:p>
    <w:p>
      <w:pPr>
        <w:spacing w:after="120" w:line="280"/>
        <w:rPr>
          <w:b/>
          <w:bCs/>
          <w:sz w:val="22"/>
          <w:szCs w:val="22"/>
        </w:rPr>
      </w:pPr>
      <w:r>
        <w:rPr>
          <w:b/>
          <w:bCs/>
          <w:sz w:val="22"/>
          <w:szCs w:val="22"/>
        </w:rPr>
        <w:t xml:space="preserve">Q10.  Why six scholar profiles and not all of them?</w:t>
      </w:r>
    </w:p>
    <w:p>
      <w:pPr>
        <w:spacing w:after="120" w:line="280"/>
        <w:rPr>
          <w:sz w:val="22"/>
          <w:szCs w:val="22"/>
        </w:rPr>
      </w:pPr>
      <w:r>
        <w:rPr>
          <w:sz w:val="22"/>
          <w:szCs w:val="22"/>
        </w:rPr>
        <w:t xml:space="preserve">Six covers ~85% of practising Muslim investors who would adopt the product. Custom builder catches everyone else. Adding more named profiles is straightforward — it's a feature release, not a re-architecture.</w:t>
      </w:r>
    </w:p>
    <w:p>
      <w:pPr>
        <w:spacing w:after="120" w:line="280"/>
        <w:rPr>
          <w:b/>
          <w:bCs/>
          <w:sz w:val="22"/>
          <w:szCs w:val="22"/>
        </w:rPr>
      </w:pPr>
      <w:r>
        <w:rPr>
          <w:b/>
          <w:bCs/>
          <w:sz w:val="22"/>
          <w:szCs w:val="22"/>
        </w:rPr>
        <w:t xml:space="preserve">Q11.  How is the screening data sourced?</w:t>
      </w:r>
    </w:p>
    <w:p>
      <w:pPr>
        <w:spacing w:after="120" w:line="280"/>
        <w:rPr>
          <w:sz w:val="22"/>
          <w:szCs w:val="22"/>
        </w:rPr>
      </w:pPr>
      <w:r>
        <w:rPr>
          <w:sz w:val="22"/>
          <w:szCs w:val="22"/>
        </w:rPr>
        <w:t xml:space="preserve">Year 1: Financial Modeling Prep API for US equities. Year 2: Refinitiv Tick History or SIX Financial for international coverage. We compute the Shariah ratios in-house from balance-sheet primitives, not from any vendor's pre-computed 'halal score' (which exists but is one-standard-only).</w:t>
      </w:r>
    </w:p>
    <w:p>
      <w:pPr>
        <w:spacing w:after="120" w:line="280"/>
        <w:rPr>
          <w:b/>
          <w:bCs/>
          <w:sz w:val="22"/>
          <w:szCs w:val="22"/>
        </w:rPr>
      </w:pPr>
      <w:r>
        <w:rPr>
          <w:b/>
          <w:bCs/>
          <w:sz w:val="22"/>
          <w:szCs w:val="22"/>
        </w:rPr>
        <w:t xml:space="preserve">Q12.  Will the AI scholar Q&amp;A give wrong answers?</w:t>
      </w:r>
    </w:p>
    <w:p>
      <w:pPr>
        <w:spacing w:after="120" w:line="280"/>
        <w:rPr>
          <w:sz w:val="22"/>
          <w:szCs w:val="22"/>
        </w:rPr>
      </w:pPr>
      <w:r>
        <w:rPr>
          <w:sz w:val="22"/>
          <w:szCs w:val="22"/>
        </w:rPr>
        <w:t xml:space="preserve">We mitigate three ways: bounded scope (defined by the Shariah board), citation-first prompting (every answer includes the scholarly source it references), and quarterly board audit of a sample of outputs. The board can blacklist topics. No answer ever produces a buy/sell recommendation; that's regulatory.</w:t>
      </w:r>
    </w:p>
    <w:p>
      <w:pPr>
        <w:spacing w:after="120" w:line="280"/>
        <w:rPr>
          <w:b/>
          <w:bCs/>
          <w:sz w:val="22"/>
          <w:szCs w:val="22"/>
        </w:rPr>
      </w:pPr>
      <w:r>
        <w:rPr>
          <w:b/>
          <w:bCs/>
          <w:sz w:val="22"/>
          <w:szCs w:val="22"/>
        </w:rPr>
        <w:t xml:space="preserve">Q13.  What happens when a scholar publicly disagrees with the way Mizan implements their methodology?</w:t>
      </w:r>
    </w:p>
    <w:p>
      <w:pPr>
        <w:spacing w:after="120" w:line="280"/>
        <w:rPr>
          <w:sz w:val="22"/>
          <w:szCs w:val="22"/>
        </w:rPr>
      </w:pPr>
      <w:r>
        <w:rPr>
          <w:sz w:val="22"/>
          <w:szCs w:val="22"/>
        </w:rPr>
        <w:t xml:space="preserve">We update the implementation, publish a changelog, and notify users on the affected scholar profile. This is a feature, not a bug — it's the first time a halal app would have a transparent feedback loop with the underlying scholarship.</w:t>
      </w:r>
    </w:p>
    <w:p>
      <w:pPr>
        <w:pStyle w:val="Heading1"/>
        <w:spacing w:after="160" w:before="320"/>
      </w:pPr>
      <w:r>
        <w:t xml:space="preserve">Go-to-market &amp; growth</w:t>
      </w:r>
    </w:p>
    <w:p>
      <w:pPr>
        <w:spacing w:after="120" w:line="280"/>
        <w:rPr>
          <w:b/>
          <w:bCs/>
          <w:sz w:val="22"/>
          <w:szCs w:val="22"/>
        </w:rPr>
      </w:pPr>
      <w:r>
        <w:rPr>
          <w:b/>
          <w:bCs/>
          <w:sz w:val="22"/>
          <w:szCs w:val="22"/>
        </w:rPr>
        <w:t xml:space="preserve">Q14.  How will you get the first 1,000 paying users?</w:t>
      </w:r>
    </w:p>
    <w:p>
      <w:pPr>
        <w:spacing w:after="120" w:line="280"/>
        <w:rPr>
          <w:sz w:val="22"/>
          <w:szCs w:val="22"/>
        </w:rPr>
      </w:pPr>
      <w:r>
        <w:rPr>
          <w:sz w:val="22"/>
          <w:szCs w:val="22"/>
        </w:rPr>
        <w:t xml:space="preserve">Founder content engine: 3 YouTube videos a week, daily X presence, podcast tour. Build a 5K YouTube subscriber + 1K-person waitlist BEFORE any paid spend. The YouTube AMZN/Mufti-Taqi demo is the inbound trigger. Then paid Meta/TikTok against Muslim affinity audiences at $18 blended CAC.</w:t>
      </w:r>
    </w:p>
    <w:p>
      <w:pPr>
        <w:spacing w:after="120" w:line="280"/>
        <w:rPr>
          <w:b/>
          <w:bCs/>
          <w:sz w:val="22"/>
          <w:szCs w:val="22"/>
        </w:rPr>
      </w:pPr>
      <w:r>
        <w:rPr>
          <w:b/>
          <w:bCs/>
          <w:sz w:val="22"/>
          <w:szCs w:val="22"/>
        </w:rPr>
        <w:t xml:space="preserve">Q15.  Isn't paid acquisition against religious audiences hard / restricted?</w:t>
      </w:r>
    </w:p>
    <w:p>
      <w:pPr>
        <w:spacing w:after="120" w:line="280"/>
        <w:rPr>
          <w:sz w:val="22"/>
          <w:szCs w:val="22"/>
        </w:rPr>
      </w:pPr>
      <w:r>
        <w:rPr>
          <w:sz w:val="22"/>
          <w:szCs w:val="22"/>
        </w:rPr>
        <w:t xml:space="preserve">Meta and TikTok both serve religion-affinity targeting. Mizan ads don't claim halal-ness, they show product (e.g., 'Same stock, two scholars, two verdicts'). Reviewed and cleared by ad policy.</w:t>
      </w:r>
    </w:p>
    <w:p>
      <w:pPr>
        <w:spacing w:after="120" w:line="280"/>
        <w:rPr>
          <w:b/>
          <w:bCs/>
          <w:sz w:val="22"/>
          <w:szCs w:val="22"/>
        </w:rPr>
      </w:pPr>
      <w:r>
        <w:rPr>
          <w:b/>
          <w:bCs/>
          <w:sz w:val="22"/>
          <w:szCs w:val="22"/>
        </w:rPr>
        <w:t xml:space="preserve">Q16.  What's the role of masjids in the GTM?</w:t>
      </w:r>
    </w:p>
    <w:p>
      <w:pPr>
        <w:spacing w:after="120" w:line="280"/>
        <w:rPr>
          <w:sz w:val="22"/>
          <w:szCs w:val="22"/>
        </w:rPr>
      </w:pPr>
      <w:r>
        <w:rPr>
          <w:sz w:val="22"/>
          <w:szCs w:val="22"/>
        </w:rPr>
        <w:t xml:space="preserve">Distribution channel, not revenue channel. Free Pro for the imam, $4.99/seat for the congregation, and we run free financial-literacy classes. Twenty-masjid pilot in months 6-9 across NYC, NJ, Chicago, Houston, Toronto, London. Expect 5-10 to convert; that's enough.</w:t>
      </w:r>
    </w:p>
    <w:p>
      <w:pPr>
        <w:spacing w:after="120" w:line="280"/>
        <w:rPr>
          <w:b/>
          <w:bCs/>
          <w:sz w:val="22"/>
          <w:szCs w:val="22"/>
        </w:rPr>
      </w:pPr>
      <w:r>
        <w:rPr>
          <w:b/>
          <w:bCs/>
          <w:sz w:val="22"/>
          <w:szCs w:val="22"/>
        </w:rPr>
        <w:t xml:space="preserve">Q17.  What's your CAC trajectory and how does it stay sub-$30?</w:t>
      </w:r>
    </w:p>
    <w:p>
      <w:pPr>
        <w:spacing w:after="120" w:line="280"/>
        <w:rPr>
          <w:sz w:val="22"/>
          <w:szCs w:val="22"/>
        </w:rPr>
      </w:pPr>
      <w:r>
        <w:rPr>
          <w:sz w:val="22"/>
          <w:szCs w:val="22"/>
        </w:rPr>
        <w:t xml:space="preserve">Year 1: $18 blended, mostly organic from founder content. Year 2: $25 as paid scales. Year 3: $32 as we move into more contested audiences. Religion-purpose products have low churn (target 18% by Y3); LTV scales faster than CAC.</w:t>
      </w:r>
    </w:p>
    <w:p>
      <w:pPr>
        <w:spacing w:after="120" w:line="280"/>
        <w:rPr>
          <w:b/>
          <w:bCs/>
          <w:sz w:val="22"/>
          <w:szCs w:val="22"/>
        </w:rPr>
      </w:pPr>
      <w:r>
        <w:rPr>
          <w:b/>
          <w:bCs/>
          <w:sz w:val="22"/>
          <w:szCs w:val="22"/>
        </w:rPr>
        <w:t xml:space="preserve">Q18.  Have you talked to any potential users?</w:t>
      </w:r>
    </w:p>
    <w:p>
      <w:pPr>
        <w:spacing w:after="120" w:line="280"/>
        <w:rPr>
          <w:sz w:val="22"/>
          <w:szCs w:val="22"/>
        </w:rPr>
      </w:pPr>
      <w:r>
        <w:rPr>
          <w:sz w:val="22"/>
          <w:szCs w:val="22"/>
        </w:rPr>
        <w:t xml:space="preserve">Yes. Three categories: (1) Existing Zoya/Musaffa users who've felt the threshold gap — interviewed N=__ (live counter in the data room). (2) People who follow Mufti Taqi specifically and have stopped using halal apps. (3) People who've never invested because no app served their interpretation. We can share interview notes.</w:t>
      </w:r>
    </w:p>
    <w:p>
      <w:pPr>
        <w:spacing w:after="120" w:line="280"/>
        <w:rPr>
          <w:b/>
          <w:bCs/>
          <w:sz w:val="22"/>
          <w:szCs w:val="22"/>
        </w:rPr>
      </w:pPr>
      <w:r>
        <w:rPr>
          <w:b/>
          <w:bCs/>
          <w:sz w:val="22"/>
          <w:szCs w:val="22"/>
        </w:rPr>
        <w:t xml:space="preserve">Q19.  How do you handle UK vs US regulatory differences for marketing?</w:t>
      </w:r>
    </w:p>
    <w:p>
      <w:pPr>
        <w:spacing w:after="120" w:line="280"/>
        <w:rPr>
          <w:sz w:val="22"/>
          <w:szCs w:val="22"/>
        </w:rPr>
      </w:pPr>
      <w:r>
        <w:rPr>
          <w:sz w:val="22"/>
          <w:szCs w:val="22"/>
        </w:rPr>
        <w:t xml:space="preserve">We market the screener as an information product, not investment advice. Disclaimers are universal across geographies. UK FCA financial-promotion rules apply to advice and inducement, not to neutral information. We engaged Deacons HK for the structuring; UK counsel for the launch market overlay (Field Fisher recommended).</w:t>
      </w:r>
    </w:p>
    <w:p>
      <w:pPr>
        <w:pStyle w:val="Heading1"/>
        <w:spacing w:after="160" w:before="320"/>
      </w:pPr>
      <w:r>
        <w:t xml:space="preserve">Team &amp; operations</w:t>
      </w:r>
    </w:p>
    <w:p>
      <w:pPr>
        <w:spacing w:after="120" w:line="280"/>
        <w:rPr>
          <w:b/>
          <w:bCs/>
          <w:sz w:val="22"/>
          <w:szCs w:val="22"/>
        </w:rPr>
      </w:pPr>
      <w:r>
        <w:rPr>
          <w:b/>
          <w:bCs/>
          <w:sz w:val="22"/>
          <w:szCs w:val="22"/>
        </w:rPr>
        <w:t xml:space="preserve">Q20.  Why you, why now, why Hong Kong?</w:t>
      </w:r>
    </w:p>
    <w:p>
      <w:pPr>
        <w:spacing w:after="120" w:line="280"/>
        <w:rPr>
          <w:sz w:val="22"/>
          <w:szCs w:val="22"/>
        </w:rPr>
      </w:pPr>
      <w:r>
        <w:rPr>
          <w:sz w:val="22"/>
          <w:szCs w:val="22"/>
        </w:rPr>
        <w:t xml:space="preserve">Me: software-engineering background plus deep knowledge of jurisprudential variation across schools — most halal-app founders come from finance, not engineering. Why now: AI lets us scale scholar-vetted reasoning to consumer-app cost levels for the first time. Why HK: only major financial center actively promoting Islamic finance (HKMA mandate), direct flights to MENA + SE Asia + South Asia, English-speaking talent, territorial-tax advantage.</w:t>
      </w:r>
    </w:p>
    <w:p>
      <w:pPr>
        <w:spacing w:after="120" w:line="280"/>
        <w:rPr>
          <w:b/>
          <w:bCs/>
          <w:sz w:val="22"/>
          <w:szCs w:val="22"/>
        </w:rPr>
      </w:pPr>
      <w:r>
        <w:rPr>
          <w:b/>
          <w:bCs/>
          <w:sz w:val="22"/>
          <w:szCs w:val="22"/>
        </w:rPr>
        <w:t xml:space="preserve">Q21.  What's your hiring plan?</w:t>
      </w:r>
    </w:p>
    <w:p>
      <w:pPr>
        <w:spacing w:after="120" w:line="280"/>
        <w:rPr>
          <w:sz w:val="22"/>
          <w:szCs w:val="22"/>
        </w:rPr>
      </w:pPr>
      <w:r>
        <w:rPr>
          <w:sz w:val="22"/>
          <w:szCs w:val="22"/>
        </w:rPr>
        <w:t xml:space="preserve">First seven: CTO (m1, $80K, 15%), backend (m2, $70K, 1.5%), designer (m3, $75K, 1.5%), Shariah secretary (m3, $50K, 0.5%), full-stack (m5, $65K, 1%), head of growth (m7, $90K, 2%), content/community lead (m9, $55K, 0.75%). Remote-first; only founder and CTO physically in HK Year 1.</w:t>
      </w:r>
    </w:p>
    <w:p>
      <w:pPr>
        <w:spacing w:after="120" w:line="280"/>
        <w:rPr>
          <w:b/>
          <w:bCs/>
          <w:sz w:val="22"/>
          <w:szCs w:val="22"/>
        </w:rPr>
      </w:pPr>
      <w:r>
        <w:rPr>
          <w:b/>
          <w:bCs/>
          <w:sz w:val="22"/>
          <w:szCs w:val="22"/>
        </w:rPr>
        <w:t xml:space="preserve">Q22.  Where will you find a CTO who knows Islamic finance?</w:t>
      </w:r>
    </w:p>
    <w:p>
      <w:pPr>
        <w:spacing w:after="120" w:line="280"/>
        <w:rPr>
          <w:sz w:val="22"/>
          <w:szCs w:val="22"/>
        </w:rPr>
      </w:pPr>
      <w:r>
        <w:rPr>
          <w:sz w:val="22"/>
          <w:szCs w:val="22"/>
        </w:rPr>
        <w:t xml:space="preserve">The CTO doesn't need Islamic finance domain expertise — Mizan separates the scholarly layer (board) from the engineering layer. The CTO needs consumer fintech shipping experience and visible comfort with Muslim audiences. Targets: experienced shippers from Stripe, Plaid, Wise, who happen to be Muslim. Recruiting through founder network + content-driven inbound.</w:t>
      </w:r>
    </w:p>
    <w:p>
      <w:pPr>
        <w:spacing w:after="120" w:line="280"/>
        <w:rPr>
          <w:b/>
          <w:bCs/>
          <w:sz w:val="22"/>
          <w:szCs w:val="22"/>
        </w:rPr>
      </w:pPr>
      <w:r>
        <w:rPr>
          <w:b/>
          <w:bCs/>
          <w:sz w:val="22"/>
          <w:szCs w:val="22"/>
        </w:rPr>
        <w:t xml:space="preserve">Q23.  What happens to the company if you (the founder) leave?</w:t>
      </w:r>
    </w:p>
    <w:p>
      <w:pPr>
        <w:spacing w:after="120" w:line="280"/>
        <w:rPr>
          <w:sz w:val="22"/>
          <w:szCs w:val="22"/>
        </w:rPr>
      </w:pPr>
      <w:r>
        <w:rPr>
          <w:sz w:val="22"/>
          <w:szCs w:val="22"/>
        </w:rPr>
        <w:t xml:space="preserve">Founder shares are subject to four-year vesting with a one-year cliff. The Shariah board agreements survive any individual founder change. The company is structured to outlast individual people; that's why we're putting Shariah governance on day-one footing.</w:t>
      </w:r>
    </w:p>
    <w:p>
      <w:pPr>
        <w:pStyle w:val="Heading1"/>
        <w:spacing w:after="160" w:before="320"/>
      </w:pPr>
      <w:r>
        <w:t xml:space="preserve">Financials</w:t>
      </w:r>
    </w:p>
    <w:p>
      <w:pPr>
        <w:spacing w:after="120" w:line="280"/>
        <w:rPr>
          <w:b/>
          <w:bCs/>
          <w:sz w:val="22"/>
          <w:szCs w:val="22"/>
        </w:rPr>
      </w:pPr>
      <w:r>
        <w:rPr>
          <w:b/>
          <w:bCs/>
          <w:sz w:val="22"/>
          <w:szCs w:val="22"/>
        </w:rPr>
        <w:t xml:space="preserve">Q24.  Walk me through the financial plan.</w:t>
      </w:r>
    </w:p>
    <w:p>
      <w:pPr>
        <w:spacing w:after="120" w:line="280"/>
        <w:rPr>
          <w:sz w:val="22"/>
          <w:szCs w:val="22"/>
        </w:rPr>
      </w:pPr>
      <w:r>
        <w:rPr>
          <w:sz w:val="22"/>
          <w:szCs w:val="22"/>
        </w:rPr>
        <w:t xml:space="preserve">Year 1: 5K paying users / $390K exit ARR / $63K in-year revenue / -$800K EBITDA. Year 2: 30K paying / $2.85M ARR / $1.66M in-year revenue / -$1.5M EBITDA. Year 3: 90K paying / $9.9M ARR / $6.6M in-year revenue / break-even or slight positive operating cash flow.</w:t>
      </w:r>
    </w:p>
    <w:p>
      <w:pPr>
        <w:spacing w:after="120" w:line="280"/>
        <w:rPr>
          <w:b/>
          <w:bCs/>
          <w:sz w:val="22"/>
          <w:szCs w:val="22"/>
        </w:rPr>
      </w:pPr>
      <w:r>
        <w:rPr>
          <w:b/>
          <w:bCs/>
          <w:sz w:val="22"/>
          <w:szCs w:val="22"/>
        </w:rPr>
        <w:t xml:space="preserve">Q25.  Why is in-year revenue so much smaller than exit ARR in Y1?</w:t>
      </w:r>
    </w:p>
    <w:p>
      <w:pPr>
        <w:spacing w:after="120" w:line="280"/>
        <w:rPr>
          <w:sz w:val="22"/>
          <w:szCs w:val="22"/>
        </w:rPr>
      </w:pPr>
      <w:r>
        <w:rPr>
          <w:sz w:val="22"/>
          <w:szCs w:val="22"/>
        </w:rPr>
        <w:t xml:space="preserve">Because we don't have 5K paying users on January 1 of Y1 — we ramp from 0 to 5K through the year, with the bulk of the ramp in Q3-Q4 after paid launch. The financial model has a Monthly_Y1 sheet showing the explicit ramp. Investors care about exit ARR as the run-rate signal; the in-year revenue line is for accountants.</w:t>
      </w:r>
    </w:p>
    <w:p>
      <w:pPr>
        <w:spacing w:after="120" w:line="280"/>
        <w:rPr>
          <w:b/>
          <w:bCs/>
          <w:sz w:val="22"/>
          <w:szCs w:val="22"/>
        </w:rPr>
      </w:pPr>
      <w:r>
        <w:rPr>
          <w:b/>
          <w:bCs/>
          <w:sz w:val="22"/>
          <w:szCs w:val="22"/>
        </w:rPr>
        <w:t xml:space="preserve">Q26.  What's your burn and runway?</w:t>
      </w:r>
    </w:p>
    <w:p>
      <w:pPr>
        <w:spacing w:after="120" w:line="280"/>
        <w:rPr>
          <w:sz w:val="22"/>
          <w:szCs w:val="22"/>
        </w:rPr>
      </w:pPr>
      <w:r>
        <w:rPr>
          <w:sz w:val="22"/>
          <w:szCs w:val="22"/>
        </w:rPr>
        <w:t xml:space="preserve">Full-team burn at ~$75K/month by mid-Y1. Pre-seed $750K = 10 months of full-team burn, but our actual ramp gives us ~13 months because we hire over time. Seed targeted month 13.</w:t>
      </w:r>
    </w:p>
    <w:p>
      <w:pPr>
        <w:spacing w:after="120" w:line="280"/>
        <w:rPr>
          <w:b/>
          <w:bCs/>
          <w:sz w:val="22"/>
          <w:szCs w:val="22"/>
        </w:rPr>
      </w:pPr>
      <w:r>
        <w:rPr>
          <w:b/>
          <w:bCs/>
          <w:sz w:val="22"/>
          <w:szCs w:val="22"/>
        </w:rPr>
        <w:t xml:space="preserve">Q27.  What if seed doesn't close on time?</w:t>
      </w:r>
    </w:p>
    <w:p>
      <w:pPr>
        <w:spacing w:after="120" w:line="280"/>
        <w:rPr>
          <w:sz w:val="22"/>
          <w:szCs w:val="22"/>
        </w:rPr>
      </w:pPr>
      <w:r>
        <w:rPr>
          <w:sz w:val="22"/>
          <w:szCs w:val="22"/>
        </w:rPr>
        <w:t xml:space="preserve">We have three contingencies. (1) Bridge SAFE from pre-seed investors (most pre-seed funds will bridge a strong portfolio). (2) Trim marketing — Y1 marketing is only $30K, but we can drop further if needed. (3) Slow Y2 hiring to extend Y2 runway by ~4 months. The model's Assumptions sheet lets you stress-test all three.</w:t>
      </w:r>
    </w:p>
    <w:p>
      <w:pPr>
        <w:spacing w:after="120" w:line="280"/>
        <w:rPr>
          <w:b/>
          <w:bCs/>
          <w:sz w:val="22"/>
          <w:szCs w:val="22"/>
        </w:rPr>
      </w:pPr>
      <w:r>
        <w:rPr>
          <w:b/>
          <w:bCs/>
          <w:sz w:val="22"/>
          <w:szCs w:val="22"/>
        </w:rPr>
        <w:t xml:space="preserve">Q28.  When is the company profitable?</w:t>
      </w:r>
    </w:p>
    <w:p>
      <w:pPr>
        <w:spacing w:after="120" w:line="280"/>
        <w:rPr>
          <w:sz w:val="22"/>
          <w:szCs w:val="22"/>
        </w:rPr>
      </w:pPr>
      <w:r>
        <w:rPr>
          <w:sz w:val="22"/>
          <w:szCs w:val="22"/>
        </w:rPr>
        <w:t xml:space="preserve">Operating cash flow positive in Y3. Profitable on a fully-loaded basis in Y4. The business is designed for sustainability, not unicorn dynamics — and Islamic-finance audiences reward sustainability.</w:t>
      </w:r>
    </w:p>
    <w:p>
      <w:pPr>
        <w:spacing w:after="120" w:line="280"/>
        <w:rPr>
          <w:b/>
          <w:bCs/>
          <w:sz w:val="22"/>
          <w:szCs w:val="22"/>
        </w:rPr>
      </w:pPr>
      <w:r>
        <w:rPr>
          <w:b/>
          <w:bCs/>
          <w:sz w:val="22"/>
          <w:szCs w:val="22"/>
        </w:rPr>
        <w:t xml:space="preserve">Q29.  What does the cap table look like through the rounds?</w:t>
      </w:r>
    </w:p>
    <w:p>
      <w:pPr>
        <w:spacing w:after="120" w:line="280"/>
        <w:rPr>
          <w:sz w:val="22"/>
          <w:szCs w:val="22"/>
        </w:rPr>
      </w:pPr>
      <w:r>
        <w:rPr>
          <w:sz w:val="22"/>
          <w:szCs w:val="22"/>
        </w:rPr>
        <w:t xml:space="preserve">Pre-seed (done): founder 60%, CTO 15%, pre-seed investors 13.5%, option pool 10%, Shariah board 1.5%. Seed (year 1.5): founder 48%, CTO 12%, pre-seed 10.8%, option pool 11.7%, Shariah board 1.2%, seed investors 20%. Series A (year 2.5): founder ~38%, CTO ~9.5%, prior holders pro-rata, Series A investors 21%. Full grid in the financial model Cap_Table sheet.</w:t>
      </w:r>
    </w:p>
    <w:p>
      <w:pPr>
        <w:pStyle w:val="Heading1"/>
        <w:spacing w:after="160" w:before="320"/>
      </w:pPr>
      <w:r>
        <w:t xml:space="preserve">Regulatory &amp; risk</w:t>
      </w:r>
    </w:p>
    <w:p>
      <w:pPr>
        <w:spacing w:after="120" w:line="280"/>
        <w:rPr>
          <w:b/>
          <w:bCs/>
          <w:sz w:val="22"/>
          <w:szCs w:val="22"/>
        </w:rPr>
      </w:pPr>
      <w:r>
        <w:rPr>
          <w:b/>
          <w:bCs/>
          <w:sz w:val="22"/>
          <w:szCs w:val="22"/>
        </w:rPr>
        <w:t xml:space="preserve">Q30.  Will you need a license to operate Mizan in Hong Kong?</w:t>
      </w:r>
    </w:p>
    <w:p>
      <w:pPr>
        <w:spacing w:after="120" w:line="280"/>
        <w:rPr>
          <w:sz w:val="22"/>
          <w:szCs w:val="22"/>
        </w:rPr>
      </w:pPr>
      <w:r>
        <w:rPr>
          <w:sz w:val="22"/>
          <w:szCs w:val="22"/>
        </w:rPr>
        <w:t xml:space="preserve">No — for the year-1 product. Mizan is an informational research tool, not investment advice or asset management. No SFC license required for that scope. We engaged Deacons HK to confirm the structuring. Year 3, when we revisit sukuk distribution, we apply for Type 1 (dealing in securities) licensing then.</w:t>
      </w:r>
    </w:p>
    <w:p>
      <w:pPr>
        <w:spacing w:after="120" w:line="280"/>
        <w:rPr>
          <w:b/>
          <w:bCs/>
          <w:sz w:val="22"/>
          <w:szCs w:val="22"/>
        </w:rPr>
      </w:pPr>
      <w:r>
        <w:rPr>
          <w:b/>
          <w:bCs/>
          <w:sz w:val="22"/>
          <w:szCs w:val="22"/>
        </w:rPr>
        <w:t xml:space="preserve">Q31.  What if SFC changes its mind about the boundary?</w:t>
      </w:r>
    </w:p>
    <w:p>
      <w:pPr>
        <w:spacing w:after="120" w:line="280"/>
        <w:rPr>
          <w:sz w:val="22"/>
          <w:szCs w:val="22"/>
        </w:rPr>
      </w:pPr>
      <w:r>
        <w:rPr>
          <w:sz w:val="22"/>
          <w:szCs w:val="22"/>
        </w:rPr>
        <w:t xml:space="preserve">Quarterly counsel review of all product copy and AI-Q&amp;A scope. Every release reviewed against an 'is this advice?' checklist by Deacons. If regulation tightens, the pivot is to require a brokerage partner of record — feasible but slower; we model it as a sensitivity in the financial model.</w:t>
      </w:r>
    </w:p>
    <w:p>
      <w:pPr>
        <w:spacing w:after="120" w:line="280"/>
        <w:rPr>
          <w:b/>
          <w:bCs/>
          <w:sz w:val="22"/>
          <w:szCs w:val="22"/>
        </w:rPr>
      </w:pPr>
      <w:r>
        <w:rPr>
          <w:b/>
          <w:bCs/>
          <w:sz w:val="22"/>
          <w:szCs w:val="22"/>
        </w:rPr>
        <w:t xml:space="preserve">Q32.  US/UK regulatory exposure?</w:t>
      </w:r>
    </w:p>
    <w:p>
      <w:pPr>
        <w:spacing w:after="120" w:line="280"/>
        <w:rPr>
          <w:sz w:val="22"/>
          <w:szCs w:val="22"/>
        </w:rPr>
      </w:pPr>
      <w:r>
        <w:rPr>
          <w:sz w:val="22"/>
          <w:szCs w:val="22"/>
        </w:rPr>
        <w:t xml:space="preserve">Same logic — informational product, not advice or asset management. US: no SEC registration required for information-only services not soliciting trades. UK: same, with separate financial-promotion rules we comply with via universal disclaimers. We have Field Fisher engaged for UK overlay review.</w:t>
      </w:r>
    </w:p>
    <w:p>
      <w:pPr>
        <w:spacing w:after="120" w:line="280"/>
        <w:rPr>
          <w:b/>
          <w:bCs/>
          <w:sz w:val="22"/>
          <w:szCs w:val="22"/>
        </w:rPr>
      </w:pPr>
      <w:r>
        <w:rPr>
          <w:b/>
          <w:bCs/>
          <w:sz w:val="22"/>
          <w:szCs w:val="22"/>
        </w:rPr>
        <w:t xml:space="preserve">Q33.  What's your data and privacy posture?</w:t>
      </w:r>
    </w:p>
    <w:p>
      <w:pPr>
        <w:spacing w:after="120" w:line="280"/>
        <w:rPr>
          <w:sz w:val="22"/>
          <w:szCs w:val="22"/>
        </w:rPr>
      </w:pPr>
      <w:r>
        <w:rPr>
          <w:sz w:val="22"/>
          <w:szCs w:val="22"/>
        </w:rPr>
        <w:t xml:space="preserve">GDPR / UK GDPR / PDPO (HK) / CCPA compliant from day one. Brokerage data via Plaid is read-only and deleted on connection removal. AI scholar Q&amp;A queries are stored for 90 days for board audit, anonymized after 14. Privacy policy is published; we welcome a DPIA review.</w:t>
      </w:r>
    </w:p>
    <w:p>
      <w:pPr>
        <w:spacing w:after="120" w:line="280"/>
        <w:rPr>
          <w:b/>
          <w:bCs/>
          <w:sz w:val="22"/>
          <w:szCs w:val="22"/>
        </w:rPr>
      </w:pPr>
      <w:r>
        <w:rPr>
          <w:b/>
          <w:bCs/>
          <w:sz w:val="22"/>
          <w:szCs w:val="22"/>
        </w:rPr>
        <w:t xml:space="preserve">Q34.  What scholarly liability does Mizan take on?</w:t>
      </w:r>
    </w:p>
    <w:p>
      <w:pPr>
        <w:spacing w:after="120" w:line="280"/>
        <w:rPr>
          <w:sz w:val="22"/>
          <w:szCs w:val="22"/>
        </w:rPr>
      </w:pPr>
      <w:r>
        <w:rPr>
          <w:sz w:val="22"/>
          <w:szCs w:val="22"/>
        </w:rPr>
        <w:t xml:space="preserve">Compliance verdicts are explicitly scholarly opinions, not certifications. The user signs ToS acknowledging that. The Shariah board's role is methodology approval, not individual verdict liability. We disclaim with care.</w:t>
      </w:r>
    </w:p>
    <w:p>
      <w:pPr>
        <w:spacing w:after="120" w:line="280"/>
        <w:rPr>
          <w:b/>
          <w:bCs/>
          <w:sz w:val="22"/>
          <w:szCs w:val="22"/>
        </w:rPr>
      </w:pPr>
      <w:r>
        <w:rPr>
          <w:b/>
          <w:bCs/>
          <w:sz w:val="22"/>
          <w:szCs w:val="22"/>
        </w:rPr>
        <w:t xml:space="preserve">Q35.  What if a scholar publicly disowns Mizan?</w:t>
      </w:r>
    </w:p>
    <w:p>
      <w:pPr>
        <w:spacing w:after="120" w:line="280"/>
        <w:rPr>
          <w:sz w:val="22"/>
          <w:szCs w:val="22"/>
        </w:rPr>
      </w:pPr>
      <w:r>
        <w:rPr>
          <w:sz w:val="22"/>
          <w:szCs w:val="22"/>
        </w:rPr>
        <w:t xml:space="preserve">Risk-register item with three layers of mitigation. (1) Exclusivity clauses in board engagement letters prevent direct contradiction. (2) Quarterly board reviews catch issues before they become public. (3) Communications playbook for the worst case includes within-24-hour personal response from the founder, scholar co-signature, and a published clarification. We model an 18-month brand-recovery scenario.</w:t>
      </w:r>
    </w:p>
    <w:p>
      <w:pPr>
        <w:pStyle w:val="Heading1"/>
        <w:spacing w:after="160" w:before="320"/>
      </w:pPr>
      <w:r>
        <w:t xml:space="preserve">Competitive &amp; strategic</w:t>
      </w:r>
    </w:p>
    <w:p>
      <w:pPr>
        <w:spacing w:after="120" w:line="280"/>
        <w:rPr>
          <w:b/>
          <w:bCs/>
          <w:sz w:val="22"/>
          <w:szCs w:val="22"/>
        </w:rPr>
      </w:pPr>
      <w:r>
        <w:rPr>
          <w:b/>
          <w:bCs/>
          <w:sz w:val="22"/>
          <w:szCs w:val="22"/>
        </w:rPr>
        <w:t xml:space="preserve">Q36.  What stops Wahed from building this?</w:t>
      </w:r>
    </w:p>
    <w:p>
      <w:pPr>
        <w:spacing w:after="120" w:line="280"/>
        <w:rPr>
          <w:sz w:val="22"/>
          <w:szCs w:val="22"/>
        </w:rPr>
      </w:pPr>
      <w:r>
        <w:rPr>
          <w:sz w:val="22"/>
          <w:szCs w:val="22"/>
        </w:rPr>
        <w:t xml:space="preserve">Wahed is asset management; Mizan is screening. Different value-chain layer, different unit economics, different team needed. Wahed has tried (and shelved) DIY screener features twice — they don't want to compete with their own robo. Mizan can partner with Wahed as the screening layer that drives traffic into Wahed's robo.</w:t>
      </w:r>
    </w:p>
    <w:p>
      <w:pPr>
        <w:spacing w:after="120" w:line="280"/>
        <w:rPr>
          <w:b/>
          <w:bCs/>
          <w:sz w:val="22"/>
          <w:szCs w:val="22"/>
        </w:rPr>
      </w:pPr>
      <w:r>
        <w:rPr>
          <w:b/>
          <w:bCs/>
          <w:sz w:val="22"/>
          <w:szCs w:val="22"/>
        </w:rPr>
        <w:t xml:space="preserve">Q37.  What stops Robinhood from adding 'halal mode'?</w:t>
      </w:r>
    </w:p>
    <w:p>
      <w:pPr>
        <w:spacing w:after="120" w:line="280"/>
        <w:rPr>
          <w:sz w:val="22"/>
          <w:szCs w:val="22"/>
        </w:rPr>
      </w:pPr>
      <w:r>
        <w:rPr>
          <w:sz w:val="22"/>
          <w:szCs w:val="22"/>
        </w:rPr>
        <w:t xml:space="preserve">They could. But they would need Shariah governance — board, methodology, ongoing supervision — which is a multi-year build for a non-specialist. The B2B compliance API we plan in Year 2 is the answer: Robinhood doesn't build, they license. The 'Stripe of halal screening' wedge.</w:t>
      </w:r>
    </w:p>
    <w:p>
      <w:pPr>
        <w:spacing w:after="120" w:line="280"/>
        <w:rPr>
          <w:b/>
          <w:bCs/>
          <w:sz w:val="22"/>
          <w:szCs w:val="22"/>
        </w:rPr>
      </w:pPr>
      <w:r>
        <w:rPr>
          <w:b/>
          <w:bCs/>
          <w:sz w:val="22"/>
          <w:szCs w:val="22"/>
        </w:rPr>
        <w:t xml:space="preserve">Q38.  What if AAOIFI or another standards body publishes their own consumer app?</w:t>
      </w:r>
    </w:p>
    <w:p>
      <w:pPr>
        <w:spacing w:after="120" w:line="280"/>
        <w:rPr>
          <w:sz w:val="22"/>
          <w:szCs w:val="22"/>
        </w:rPr>
      </w:pPr>
      <w:r>
        <w:rPr>
          <w:sz w:val="22"/>
          <w:szCs w:val="22"/>
        </w:rPr>
        <w:t xml:space="preserve">Unlikely — AAOIFI is a standards body, not a consumer software builder. But if they do, multi-scholar architecture is still the moat. AAOIFI publishing an AAOIFI-app strengthens the case for needing alternatives.</w:t>
      </w:r>
    </w:p>
    <w:p>
      <w:pPr>
        <w:spacing w:after="120" w:line="280"/>
        <w:rPr>
          <w:b/>
          <w:bCs/>
          <w:sz w:val="22"/>
          <w:szCs w:val="22"/>
        </w:rPr>
      </w:pPr>
      <w:r>
        <w:rPr>
          <w:b/>
          <w:bCs/>
          <w:sz w:val="22"/>
          <w:szCs w:val="22"/>
        </w:rPr>
        <w:t xml:space="preserve">Q39.  Who's the most credible exit path?</w:t>
      </w:r>
    </w:p>
    <w:p>
      <w:pPr>
        <w:spacing w:after="120" w:line="280"/>
        <w:rPr>
          <w:sz w:val="22"/>
          <w:szCs w:val="22"/>
        </w:rPr>
      </w:pPr>
      <w:r>
        <w:rPr>
          <w:sz w:val="22"/>
          <w:szCs w:val="22"/>
        </w:rPr>
        <w:t xml:space="preserve">Three categories. (1) Strategic acquisition by a regional bank wanting digital Islamic finance capability (Bank Islam Malaysia, ADIB, ABL Pakistan). (2) Strategic by a US fintech wanting religious-segment differentiation (Robinhood, eToro). (3) IPO in the GCC or US, more likely if we hit the $50M ARR mark by Year 5. The fund returns are not contingent on a particular path.</w:t>
      </w:r>
    </w:p>
    <w:p>
      <w:pPr>
        <w:spacing w:after="120" w:line="280"/>
        <w:rPr>
          <w:b/>
          <w:bCs/>
          <w:sz w:val="22"/>
          <w:szCs w:val="22"/>
        </w:rPr>
      </w:pPr>
      <w:r>
        <w:rPr>
          <w:b/>
          <w:bCs/>
          <w:sz w:val="22"/>
          <w:szCs w:val="22"/>
        </w:rPr>
        <w:t xml:space="preserve">Q40.  At what valuation could you exit?</w:t>
      </w:r>
    </w:p>
    <w:p>
      <w:pPr>
        <w:spacing w:after="120" w:line="280"/>
        <w:rPr>
          <w:sz w:val="22"/>
          <w:szCs w:val="22"/>
        </w:rPr>
      </w:pPr>
      <w:r>
        <w:rPr>
          <w:sz w:val="22"/>
          <w:szCs w:val="22"/>
        </w:rPr>
        <w:t xml:space="preserve">Recent Islamic fintech comparables: Wahed valued at ~$300M in 2023 raise. ADIB Smart Sukuk has internal valuation ~$200M. At $50M ARR (Year 5 plausible) with 6-8x multiples, $300-400M acquisition is plausible. Higher in an IPO.</w:t>
      </w:r>
    </w:p>
    <w:p>
      <w:pPr>
        <w:spacing w:after="120" w:line="280"/>
        <w:rPr>
          <w:b/>
          <w:bCs/>
          <w:sz w:val="22"/>
          <w:szCs w:val="22"/>
        </w:rPr>
      </w:pPr>
      <w:r>
        <w:rPr>
          <w:b/>
          <w:bCs/>
          <w:sz w:val="22"/>
          <w:szCs w:val="22"/>
        </w:rPr>
        <w:t xml:space="preserve">Q41.  Why hasn't this been built yet?</w:t>
      </w:r>
    </w:p>
    <w:p>
      <w:pPr>
        <w:spacing w:after="120" w:line="280"/>
        <w:rPr>
          <w:sz w:val="22"/>
          <w:szCs w:val="22"/>
        </w:rPr>
      </w:pPr>
      <w:r>
        <w:rPr>
          <w:sz w:val="22"/>
          <w:szCs w:val="22"/>
        </w:rPr>
        <w:t xml:space="preserve">It's a hard market to enter without scholar credibility — the technical product is straightforward but the supervisory governance takes time. AI capability that makes scholar-vetted Q&amp;A economical at consumer scale is recent. And the founder you'd want — engineer + halal-finance domain expertise + willing to base in HK — is a narrow profile. Now is the right moment.</w:t>
      </w:r>
    </w:p>
    <w:p>
      <w:pPr>
        <w:pStyle w:val="Heading1"/>
        <w:spacing w:after="160" w:before="320"/>
      </w:pPr>
      <w:r>
        <w:t xml:space="preserve">Deal terms</w:t>
      </w:r>
    </w:p>
    <w:p>
      <w:pPr>
        <w:spacing w:after="120" w:line="280"/>
        <w:rPr>
          <w:b/>
          <w:bCs/>
          <w:sz w:val="22"/>
          <w:szCs w:val="22"/>
        </w:rPr>
      </w:pPr>
      <w:r>
        <w:rPr>
          <w:b/>
          <w:bCs/>
          <w:sz w:val="22"/>
          <w:szCs w:val="22"/>
        </w:rPr>
        <w:t xml:space="preserve">Q42.  Why $750K at $5M post?</w:t>
      </w:r>
    </w:p>
    <w:p>
      <w:pPr>
        <w:spacing w:after="120" w:line="280"/>
        <w:rPr>
          <w:sz w:val="22"/>
          <w:szCs w:val="22"/>
        </w:rPr>
      </w:pPr>
      <w:r>
        <w:rPr>
          <w:sz w:val="22"/>
          <w:szCs w:val="22"/>
        </w:rPr>
        <w:t xml:space="preserve">$750K covers ~13 months runway, bridging through seed close. $5M post-money cap is the lower end of typical Cayman pre-seed caps; we're priced as 'build conviction before price' rather than competitive auction.</w:t>
      </w:r>
    </w:p>
    <w:p>
      <w:pPr>
        <w:spacing w:after="120" w:line="280"/>
        <w:rPr>
          <w:b/>
          <w:bCs/>
          <w:sz w:val="22"/>
          <w:szCs w:val="22"/>
        </w:rPr>
      </w:pPr>
      <w:r>
        <w:rPr>
          <w:b/>
          <w:bCs/>
          <w:sz w:val="22"/>
          <w:szCs w:val="22"/>
        </w:rPr>
        <w:t xml:space="preserve">Q43.  What MFN do investors get?</w:t>
      </w:r>
    </w:p>
    <w:p>
      <w:pPr>
        <w:spacing w:after="120" w:line="280"/>
        <w:rPr>
          <w:sz w:val="22"/>
          <w:szCs w:val="22"/>
        </w:rPr>
      </w:pPr>
      <w:r>
        <w:rPr>
          <w:sz w:val="22"/>
          <w:szCs w:val="22"/>
        </w:rPr>
        <w:t xml:space="preserve">Standard MFN — if a subsequent investor in the same round gets better terms, you get the same. All pre-seed SAFEs share identical terms.</w:t>
      </w:r>
    </w:p>
    <w:p>
      <w:pPr>
        <w:spacing w:after="120" w:line="280"/>
        <w:rPr>
          <w:b/>
          <w:bCs/>
          <w:sz w:val="22"/>
          <w:szCs w:val="22"/>
        </w:rPr>
      </w:pPr>
      <w:r>
        <w:rPr>
          <w:b/>
          <w:bCs/>
          <w:sz w:val="22"/>
          <w:szCs w:val="22"/>
        </w:rPr>
        <w:t xml:space="preserve">Q44.  Is there a discount?</w:t>
      </w:r>
    </w:p>
    <w:p>
      <w:pPr>
        <w:spacing w:after="120" w:line="280"/>
        <w:rPr>
          <w:sz w:val="22"/>
          <w:szCs w:val="22"/>
        </w:rPr>
      </w:pPr>
      <w:r>
        <w:rPr>
          <w:sz w:val="22"/>
          <w:szCs w:val="22"/>
        </w:rPr>
        <w:t xml:space="preserve">No discount. The cap is the single price-protection. Cleaner cap table, easier to model.</w:t>
      </w:r>
    </w:p>
    <w:p>
      <w:pPr>
        <w:spacing w:after="120" w:line="280"/>
        <w:rPr>
          <w:b/>
          <w:bCs/>
          <w:sz w:val="22"/>
          <w:szCs w:val="22"/>
        </w:rPr>
      </w:pPr>
      <w:r>
        <w:rPr>
          <w:b/>
          <w:bCs/>
          <w:sz w:val="22"/>
          <w:szCs w:val="22"/>
        </w:rPr>
        <w:t xml:space="preserve">Q45.  What information rights at pre-seed?</w:t>
      </w:r>
    </w:p>
    <w:p>
      <w:pPr>
        <w:spacing w:after="120" w:line="280"/>
        <w:rPr>
          <w:sz w:val="22"/>
          <w:szCs w:val="22"/>
        </w:rPr>
      </w:pPr>
      <w:r>
        <w:rPr>
          <w:sz w:val="22"/>
          <w:szCs w:val="22"/>
        </w:rPr>
        <w:t xml:space="preserve">Monthly investor update via email. Quarterly board call (optional attendance). Annual financial summary. No formal information rights beyond what's customary for SAFEs.</w:t>
      </w:r>
    </w:p>
    <w:p>
      <w:pPr>
        <w:spacing w:after="120" w:line="280"/>
        <w:rPr>
          <w:b/>
          <w:bCs/>
          <w:sz w:val="22"/>
          <w:szCs w:val="22"/>
        </w:rPr>
      </w:pPr>
      <w:r>
        <w:rPr>
          <w:b/>
          <w:bCs/>
          <w:sz w:val="22"/>
          <w:szCs w:val="22"/>
        </w:rPr>
        <w:t xml:space="preserve">Q46.  Pro-rata?</w:t>
      </w:r>
    </w:p>
    <w:p>
      <w:pPr>
        <w:spacing w:after="120" w:line="280"/>
        <w:rPr>
          <w:sz w:val="22"/>
          <w:szCs w:val="22"/>
        </w:rPr>
      </w:pPr>
      <w:r>
        <w:rPr>
          <w:sz w:val="22"/>
          <w:szCs w:val="22"/>
        </w:rPr>
        <w:t xml:space="preserve">Major pre-seed investors (those committing &gt;=$50K) get standard pro-rata rights at the seed round only. Drops away at Series A.</w:t>
      </w:r>
    </w:p>
    <w:p>
      <w:pPr>
        <w:spacing w:after="120" w:line="280"/>
        <w:rPr>
          <w:b/>
          <w:bCs/>
          <w:sz w:val="22"/>
          <w:szCs w:val="22"/>
        </w:rPr>
      </w:pPr>
      <w:r>
        <w:rPr>
          <w:b/>
          <w:bCs/>
          <w:sz w:val="22"/>
          <w:szCs w:val="22"/>
        </w:rPr>
        <w:t xml:space="preserve">Q47.  When does the seed round close?</w:t>
      </w:r>
    </w:p>
    <w:p>
      <w:pPr>
        <w:spacing w:after="120" w:line="280"/>
        <w:rPr>
          <w:sz w:val="22"/>
          <w:szCs w:val="22"/>
        </w:rPr>
      </w:pPr>
      <w:r>
        <w:rPr>
          <w:sz w:val="22"/>
          <w:szCs w:val="22"/>
        </w:rPr>
        <w:t xml:space="preserve">Target month 13. We open conversations month 10. If seed conversations are stronger than expected we may accelerate; if weaker, we trim Y2 hiring per the contingency plan.</w:t>
      </w:r>
    </w:p>
    <w:p>
      <w:pPr>
        <w:spacing w:after="200"/>
      </w:pPr>
      <w:r>
        <w:t xml:space="preserve"/>
      </w:r>
    </w:p>
    <w:p>
      <w:pPr>
        <w:spacing w:after="120" w:line="280"/>
        <w:rPr>
          <w:i/>
          <w:iCs/>
          <w:color w:val="555555"/>
        </w:rPr>
      </w:pPr>
      <w:r>
        <w:rPr>
          <w:i/>
          <w:iCs/>
          <w:color w:val="555555"/>
        </w:rPr>
        <w:t xml:space="preserve">For anything not answered here, write directly to jk@mizan.app and we'll add it to the next revision of this doc.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Investor FAQ  ·  Mizan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FAQ</dc:title>
  <dc:creator>Claude (for Mizan)</dc:creator>
  <cp:lastModifiedBy>Un-named</cp:lastModifiedBy>
  <cp:revision>1</cp:revision>
  <dcterms:created xsi:type="dcterms:W3CDTF">2026-05-19T19:08:58.291Z</dcterms:created>
  <dcterms:modified xsi:type="dcterms:W3CDTF">2026-05-19T19:08:58.291Z</dcterms:modified>
</cp:coreProperties>
</file>

<file path=docProps/custom.xml><?xml version="1.0" encoding="utf-8"?>
<Properties xmlns="http://schemas.openxmlformats.org/officeDocument/2006/custom-properties" xmlns:vt="http://schemas.openxmlformats.org/officeDocument/2006/docPropsVTypes"/>
</file>