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rPr>
          <w:b/>
          <w:bCs/>
          <w:sz w:val="28"/>
          <w:szCs w:val="28"/>
        </w:rPr>
      </w:pPr>
      <w:r>
        <w:rPr>
          <w:b/>
          <w:bCs/>
          <w:sz w:val="28"/>
          <w:szCs w:val="28"/>
        </w:rPr>
        <w:t xml:space="preserve">FOUNDER AGREEMENT</w:t>
      </w:r>
    </w:p>
    <w:p>
      <w:pPr>
        <w:spacing w:after="80"/>
      </w:pPr>
      <w:r>
        <w:t xml:space="preserve"/>
      </w:r>
    </w:p>
    <w:p>
      <w:pPr>
        <w:spacing w:after="120" w:line="300"/>
      </w:pPr>
      <w:r>
        <w:t xml:space="preserve">This Founder Agreement (this “Agreement”) is entered into as of [DATE] by and between Mizan Holdings Ltd, a Cayman Islands exempted company (the “Company”), and [FOUNDER NAME] (“Founder”).</w:t>
      </w:r>
    </w:p>
    <w:p>
      <w:pPr>
        <w:spacing w:after="80"/>
      </w:pPr>
      <w:r>
        <w:t xml:space="preserve"/>
      </w:r>
    </w:p>
    <w:p>
      <w:pPr>
        <w:pStyle w:val="Heading1"/>
        <w:spacing w:after="180" w:before="360"/>
      </w:pPr>
      <w:r>
        <w:t xml:space="preserve">1.  Equity Grant and Vesting</w:t>
      </w:r>
    </w:p>
    <w:p>
      <w:pPr>
        <w:pStyle w:val="ListParagraph"/>
        <w:numPr>
          <w:ilvl w:val="0"/>
          <w:numId w:val="2"/>
        </w:numPr>
        <w:spacing w:after="100" w:line="300"/>
      </w:pPr>
      <w:r>
        <w:t xml:space="preserve">Subject to the terms of this Agreement, Founder is being granted [____] shares of Common Stock of the Company (the “Founder Shares”), representing [____]% of the fully-diluted equity of the Company as of the date hereof.</w:t>
      </w:r>
    </w:p>
    <w:p>
      <w:pPr>
        <w:pStyle w:val="ListParagraph"/>
        <w:numPr>
          <w:ilvl w:val="0"/>
          <w:numId w:val="2"/>
        </w:numPr>
        <w:spacing w:after="100" w:line="300"/>
      </w:pPr>
      <w:r>
        <w:t xml:space="preserve">The Founder Shares shall vest over a four-year period as follows: 25% on the first anniversary of the Vesting Commencement Date (the “Cliff”), and the remaining 75% vesting in equal monthly installments over the following thirty-six (36) months, such that all Founder Shares shall be fully vested on the fourth anniversary of the Vesting Commencement Date.</w:t>
      </w:r>
    </w:p>
    <w:p>
      <w:pPr>
        <w:pStyle w:val="ListParagraph"/>
        <w:numPr>
          <w:ilvl w:val="0"/>
          <w:numId w:val="2"/>
        </w:numPr>
        <w:spacing w:after="100" w:line="300"/>
      </w:pPr>
      <w:r>
        <w:t xml:space="preserve">The “Vesting Commencement Date” is [DATE].</w:t>
      </w:r>
    </w:p>
    <w:p>
      <w:pPr>
        <w:pStyle w:val="ListParagraph"/>
        <w:numPr>
          <w:ilvl w:val="0"/>
          <w:numId w:val="2"/>
        </w:numPr>
        <w:spacing w:after="100" w:line="300"/>
      </w:pPr>
      <w:r>
        <w:t xml:space="preserve">Unvested Founder Shares are subject to repurchase by the Company at the lower of (a) the original purchase price paid by Founder, or (b) the fair market value of such shares as of the date of repurchase, in the event of termination of Founder’s service for any reason, including resignation without Good Reason or termination for Cause.</w:t>
      </w:r>
    </w:p>
    <w:p>
      <w:pPr>
        <w:pStyle w:val="ListParagraph"/>
        <w:numPr>
          <w:ilvl w:val="0"/>
          <w:numId w:val="2"/>
        </w:numPr>
        <w:spacing w:after="100" w:line="300"/>
      </w:pPr>
      <w:r>
        <w:t xml:space="preserve">Acceleration. (a) Single-trigger: 100% of unvested Founder Shares shall accelerate upon a Change of Control. (b) Double-trigger: 100% of unvested Founder Shares shall accelerate upon a Change of Control followed by Founder’s involuntary termination without Cause within 12 months of such Change of Control.</w:t>
      </w:r>
    </w:p>
    <w:p>
      <w:pPr>
        <w:pStyle w:val="Heading1"/>
        <w:spacing w:after="180" w:before="360"/>
      </w:pPr>
      <w:r>
        <w:t xml:space="preserve">2.  Confidentiality</w:t>
      </w:r>
    </w:p>
    <w:p>
      <w:pPr>
        <w:spacing w:after="120" w:line="300"/>
      </w:pPr>
      <w:r>
        <w:t xml:space="preserve">Founder agrees that all information learned, developed or accessed in the course of involvement with the Company — including business plans, financial information, customer lists, source code, scholar relationships, Shariah methodology, product roadmap and proprietary data — is the confidential and proprietary information of the Company. Founder agrees not to disclose any such information to any third party without the prior written consent of the Company’s board of directors, except as required by law.</w:t>
      </w:r>
    </w:p>
    <w:p>
      <w:pPr>
        <w:pStyle w:val="Heading1"/>
        <w:spacing w:after="180" w:before="360"/>
      </w:pPr>
      <w:r>
        <w:t xml:space="preserve">3.  Assignment of Intellectual Property</w:t>
      </w:r>
    </w:p>
    <w:p>
      <w:pPr>
        <w:spacing w:after="120" w:line="300"/>
      </w:pPr>
      <w:r>
        <w:t xml:space="preserve">Founder hereby irrevocably assigns to the Company all right, title and interest in and to any and all inventions, discoveries, designs, developments, methods, modifications, improvements, processes, algorithms, code, formulas, techniques, trade secrets, graphics, images, audio or video recordings, and other works of authorship that Founder, solely or in collaboration with others, has made, conceived, developed, or reduced to practice prior to or during the period of Founder’s service to the Company, that relate in any manner to the actual or anticipated business, research or development of the Company (collectively, “Company IP”). Founder agrees to execute any documents and take any actions reasonably requested by the Company to perfect such assignment.</w:t>
      </w:r>
    </w:p>
    <w:p>
      <w:pPr>
        <w:spacing w:after="120" w:line="300"/>
      </w:pPr>
      <w:r>
        <w:t xml:space="preserve">Excluded Inventions: Any pre-existing intellectual property of Founder that does not relate to the Company’s business is listed in Schedule A. If no schedule is attached, Founder represents that no such excluded inventions exist.</w:t>
      </w:r>
    </w:p>
    <w:p>
      <w:pPr>
        <w:pStyle w:val="Heading1"/>
        <w:spacing w:after="180" w:before="360"/>
      </w:pPr>
      <w:r>
        <w:t xml:space="preserve">4.  Non-Compete and Non-Solicitation</w:t>
      </w:r>
    </w:p>
    <w:p>
      <w:pPr>
        <w:pStyle w:val="ListParagraph"/>
        <w:numPr>
          <w:ilvl w:val="0"/>
          <w:numId w:val="2"/>
        </w:numPr>
        <w:spacing w:after="100" w:line="300"/>
      </w:pPr>
      <w:r>
        <w:t xml:space="preserve">During the period of service to the Company and for twelve (12) months thereafter (the “Restricted Period”), Founder shall not, directly or indirectly, engage in any business that competes with the Company in the field of Shariah-compliant equity screening, halal investment software, or related Islamic fintech products.</w:t>
      </w:r>
    </w:p>
    <w:p>
      <w:pPr>
        <w:pStyle w:val="ListParagraph"/>
        <w:numPr>
          <w:ilvl w:val="0"/>
          <w:numId w:val="2"/>
        </w:numPr>
        <w:spacing w:after="100" w:line="300"/>
      </w:pPr>
      <w:r>
        <w:t xml:space="preserve">During the Restricted Period, Founder shall not solicit any employee, contractor, scholar, or customer of the Company to terminate their relationship with the Company.</w:t>
      </w:r>
    </w:p>
    <w:p>
      <w:pPr>
        <w:pStyle w:val="ListParagraph"/>
        <w:numPr>
          <w:ilvl w:val="0"/>
          <w:numId w:val="2"/>
        </w:numPr>
        <w:spacing w:after="100" w:line="300"/>
      </w:pPr>
      <w:r>
        <w:t xml:space="preserve">The geographic scope of this Section 4 is worldwide, given the global nature of the Company’s product.</w:t>
      </w:r>
    </w:p>
    <w:p>
      <w:pPr>
        <w:pStyle w:val="ListParagraph"/>
        <w:numPr>
          <w:ilvl w:val="0"/>
          <w:numId w:val="2"/>
        </w:numPr>
        <w:spacing w:after="100" w:line="300"/>
      </w:pPr>
      <w:r>
        <w:t xml:space="preserve">If any portion of this Section 4 is found to be unenforceable, the remainder shall continue in full force and effect, and the unenforceable portion shall be replaced with the most restrictive enforceable equivalent.</w:t>
      </w:r>
    </w:p>
    <w:p>
      <w:pPr>
        <w:pStyle w:val="Heading1"/>
        <w:spacing w:after="180" w:before="360"/>
      </w:pPr>
      <w:r>
        <w:t xml:space="preserve">5.  Definitions</w:t>
      </w:r>
    </w:p>
    <w:p>
      <w:pPr>
        <w:spacing w:after="120" w:line="300"/>
      </w:pPr>
      <w:r>
        <w:t xml:space="preserve">“Cause” means (i) Founder’s conviction of, or plea of guilty or nolo contendere to, any felony or a misdemeanor involving moral turpitude; (ii) Founder’s willful misconduct, fraud, or material breach of fiduciary duty against the Company; (iii) Founder’s material breach of this Agreement or any other written agreement with the Company, that remains uncured for thirty (30) days after written notice.</w:t>
      </w:r>
    </w:p>
    <w:p>
      <w:pPr>
        <w:spacing w:after="120" w:line="300"/>
      </w:pPr>
      <w:r>
        <w:t xml:space="preserve">“Good Reason” means (i) a material reduction in Founder’s title, duties or responsibilities; (ii) a material reduction in Founder’s base compensation; (iii) the Company’s material breach of this Agreement, in each case that remains uncured for thirty (30) days after written notice.</w:t>
      </w:r>
    </w:p>
    <w:p>
      <w:pPr>
        <w:spacing w:after="120" w:line="300"/>
      </w:pPr>
      <w:r>
        <w:t xml:space="preserve">“Change of Control” means (i) a merger or consolidation of the Company in which the holders of the Company’s securities immediately prior to the transaction do not own at least 50% of the outstanding voting securities of the surviving entity, or (ii) the sale of all or substantially all of the Company’s assets.</w:t>
      </w:r>
    </w:p>
    <w:p>
      <w:pPr>
        <w:pStyle w:val="Heading1"/>
        <w:spacing w:after="180" w:before="360"/>
      </w:pPr>
      <w:r>
        <w:t xml:space="preserve">6.  General Provisions</w:t>
      </w:r>
    </w:p>
    <w:p>
      <w:pPr>
        <w:pStyle w:val="ListParagraph"/>
        <w:numPr>
          <w:ilvl w:val="0"/>
          <w:numId w:val="2"/>
        </w:numPr>
        <w:spacing w:after="100" w:line="300"/>
      </w:pPr>
      <w:r>
        <w:t xml:space="preserve">Governing Law. This Agreement shall be governed by the laws of the Cayman Islands, except that the employment relationship between Founder and the operating subsidiary shall be governed by the laws of Hong Kong SAR.</w:t>
      </w:r>
    </w:p>
    <w:p>
      <w:pPr>
        <w:pStyle w:val="ListParagraph"/>
        <w:numPr>
          <w:ilvl w:val="0"/>
          <w:numId w:val="2"/>
        </w:numPr>
        <w:spacing w:after="100" w:line="300"/>
      </w:pPr>
      <w:r>
        <w:t xml:space="preserve">Entire Agreement. This Agreement, together with the Restricted Stock Purchase Agreement evidencing the Founder Shares, constitutes the entire agreement between the parties with respect to the subject matter hereof.</w:t>
      </w:r>
    </w:p>
    <w:p>
      <w:pPr>
        <w:pStyle w:val="ListParagraph"/>
        <w:numPr>
          <w:ilvl w:val="0"/>
          <w:numId w:val="2"/>
        </w:numPr>
        <w:spacing w:after="100" w:line="300"/>
      </w:pPr>
      <w:r>
        <w:t xml:space="preserve">Amendment. This Agreement may be amended only by a written instrument signed by both parties.</w:t>
      </w:r>
    </w:p>
    <w:p>
      <w:pPr>
        <w:pStyle w:val="ListParagraph"/>
        <w:numPr>
          <w:ilvl w:val="0"/>
          <w:numId w:val="2"/>
        </w:numPr>
        <w:spacing w:after="100" w:line="300"/>
      </w:pPr>
      <w:r>
        <w:t xml:space="preserve">Severability. If any provision of this Agreement is found to be invalid or unenforceable, the remaining provisions shall remain in full force and effect.</w:t>
      </w:r>
    </w:p>
    <w:p>
      <w:pPr>
        <w:spacing w:after="80"/>
      </w:pPr>
      <w:r>
        <w:t xml:space="preserve"/>
      </w:r>
    </w:p>
    <w:p>
      <w:pPr>
        <w:spacing w:after="120" w:line="300"/>
        <w:rPr>
          <w:b/>
          <w:bCs/>
        </w:rPr>
      </w:pPr>
      <w:r>
        <w:rPr>
          <w:b/>
          <w:bCs/>
        </w:rPr>
        <w:t xml:space="preserve">IN WITNESS WHEREOF, the parties have executed this Founder Agreement as of the date first written above.</w:t>
      </w:r>
    </w:p>
    <w:p>
      <w:pPr>
        <w:spacing w:after="80"/>
      </w:pPr>
      <w:r>
        <w:t xml:space="preserve"/>
      </w:r>
    </w:p>
    <w:p>
      <w:pPr>
        <w:spacing w:after="120" w:line="300"/>
      </w:pPr>
      <w:r>
        <w:t xml:space="preserve">MIZAN HOLDINGS LTD</w:t>
      </w:r>
    </w:p>
    <w:p>
      <w:pPr>
        <w:spacing w:after="120" w:line="300"/>
      </w:pPr>
      <w:r>
        <w:t xml:space="preserve">By: ____________________________________</w:t>
      </w:r>
    </w:p>
    <w:p>
      <w:pPr>
        <w:spacing w:after="120" w:line="300"/>
      </w:pPr>
      <w:r>
        <w:t xml:space="preserve">Title: Director</w:t>
      </w:r>
    </w:p>
    <w:p>
      <w:pPr>
        <w:spacing w:after="120" w:line="300"/>
      </w:pPr>
      <w:r>
        <w:t xml:space="preserve">Date: __________________</w:t>
      </w:r>
    </w:p>
    <w:p>
      <w:pPr>
        <w:spacing w:after="80"/>
      </w:pPr>
      <w:r>
        <w:t xml:space="preserve"/>
      </w:r>
    </w:p>
    <w:p>
      <w:pPr>
        <w:spacing w:after="120" w:line="300"/>
      </w:pPr>
      <w:r>
        <w:t xml:space="preserve">FOUNDER</w:t>
      </w:r>
    </w:p>
    <w:p>
      <w:pPr>
        <w:spacing w:after="120" w:line="300"/>
      </w:pPr>
      <w:r>
        <w:t xml:space="preserve">Signature: ____________________________________</w:t>
      </w:r>
    </w:p>
    <w:p>
      <w:pPr>
        <w:spacing w:after="120" w:line="300"/>
      </w:pPr>
      <w:r>
        <w:t xml:space="preserve">Name: ____________________________________</w:t>
      </w:r>
    </w:p>
    <w:p>
      <w:pPr>
        <w:spacing w:after="120" w:line="300"/>
      </w:pPr>
      <w:r>
        <w:t xml:space="preserve">Date: __________________</w:t>
      </w:r>
    </w:p>
    <w:p>
      <w:pPr>
        <w:spacing w:after="80"/>
      </w:pPr>
      <w:r>
        <w:t xml:space="preserve"/>
      </w:r>
    </w:p>
    <w:p>
      <w:pPr>
        <w:spacing w:after="120" w:line="300"/>
        <w:rPr>
          <w:i/>
          <w:iCs/>
          <w:color w:val="888888"/>
          <w:sz w:val="18"/>
          <w:szCs w:val="18"/>
        </w:rPr>
      </w:pPr>
      <w:r>
        <w:rPr>
          <w:i/>
          <w:iCs/>
          <w:color w:val="888888"/>
          <w:sz w:val="18"/>
          <w:szCs w:val="18"/>
        </w:rPr>
        <w:t xml:space="preserve">DRAFTING NOTE: Founders should review with counsel before signing. The non-compete clause (Section 4) is enforceable in some jurisdictions and not others; consult HK counsel about enforceability against an HK-resident founder. Vesting acceleration is heavily negotiated at the seed/Series A stage — what you sign here may be renegotiated.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Founder Agreement  ·  Mizan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Founder Agreement</dc:title>
  <dc:creator>Claude (for Mizan)</dc:creator>
  <cp:lastModifiedBy>Un-named</cp:lastModifiedBy>
  <cp:revision>1</cp:revision>
  <dcterms:created xsi:type="dcterms:W3CDTF">2026-05-19T18:27:20.776Z</dcterms:created>
  <dcterms:modified xsi:type="dcterms:W3CDTF">2026-05-19T18:27:20.776Z</dcterms:modified>
</cp:coreProperties>
</file>

<file path=docProps/custom.xml><?xml version="1.0" encoding="utf-8"?>
<Properties xmlns="http://schemas.openxmlformats.org/officeDocument/2006/custom-properties" xmlns:vt="http://schemas.openxmlformats.org/officeDocument/2006/docPropsVTypes"/>
</file>