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rPr>
          <w:b/>
          <w:bCs/>
          <w:sz w:val="28"/>
          <w:szCs w:val="28"/>
        </w:rPr>
      </w:pPr>
      <w:r>
        <w:rPr>
          <w:b/>
          <w:bCs/>
          <w:sz w:val="28"/>
          <w:szCs w:val="28"/>
        </w:rPr>
        <w:t xml:space="preserve">SIMPLE AGREEMENT FOR FUTURE EQUITY</w:t>
      </w:r>
    </w:p>
    <w:p>
      <w:pPr>
        <w:spacing w:after="120" w:line="300"/>
        <w:jc w:val="center"/>
        <w:rPr>
          <w:b/>
          <w:bCs/>
          <w:i/>
          <w:iCs/>
          <w:sz w:val="22"/>
          <w:szCs w:val="22"/>
        </w:rPr>
      </w:pPr>
      <w:r>
        <w:rPr>
          <w:b/>
          <w:bCs/>
          <w:i/>
          <w:iCs/>
          <w:sz w:val="22"/>
          <w:szCs w:val="22"/>
        </w:rPr>
        <w:t xml:space="preserve">(POST-MONEY VALUATION CAP)</w:t>
      </w:r>
    </w:p>
    <w:p>
      <w:pPr>
        <w:spacing w:after="80"/>
      </w:pPr>
      <w:r>
        <w:t xml:space="preserve"/>
      </w:r>
    </w:p>
    <w:p>
      <w:pPr>
        <w:spacing w:after="120" w:line="300"/>
        <w:rPr>
          <w:i/>
          <w:iCs/>
          <w:color w:val="555555"/>
          <w:sz w:val="18"/>
          <w:szCs w:val="18"/>
        </w:rPr>
      </w:pPr>
      <w:r>
        <w:rPr>
          <w:i/>
          <w:iCs/>
          <w:color w:val="555555"/>
          <w:sz w:val="18"/>
          <w:szCs w:val="18"/>
        </w:rPr>
        <w:t xml:space="preserve">THIS INSTRUMENT AND ANY SECURITIES ISSUABLE PURSUANT HERETO HAVE NOT BEEN REGISTERED UNDER THE U.S. SECURITIES ACT OF 1933 (THE “ACT”), OR ANY STATE OR OTHER APPLICABLE SECURITIES LAWS. THEY MAY NOT BE OFFERED, SOLD OR OTHERWISE TRANSFERRED, PLEDGED OR HYPOTHECATED EXCEPT AS PERMITTED IN THIS INSTRUMENT AND UNDER THE ACT AND APPLICABLE LAWS.</w:t>
      </w:r>
    </w:p>
    <w:p>
      <w:pPr>
        <w:spacing w:after="80"/>
      </w:pPr>
      <w:r>
        <w:t xml:space="preserve"/>
      </w:r>
    </w:p>
    <w:p>
      <w:pPr>
        <w:spacing w:after="120" w:line="300"/>
      </w:pPr>
      <w:r>
        <w:t xml:space="preserve">This Simple Agreement for Future Equity (this “Safe”) certifies that, in exchange for the payment by [INVESTOR LEGAL NAME] (the “Investor”) of US$[___________] (the “Purchase Amount”) on or about [DATE], Mizan Holdings Ltd, a Cayman Islands exempted company (the “Company”), issues to the Investor the right to certain shares of the Company’s Capital Stock, subject to the terms set forth below.</w:t>
      </w:r>
    </w:p>
    <w:p>
      <w:pPr>
        <w:spacing w:after="120" w:line="300"/>
      </w:pPr>
      <w:r>
        <w:t xml:space="preserve">The “Post-Money Valuation Cap” is US$5,000,000.</w:t>
      </w:r>
    </w:p>
    <w:p>
      <w:pPr>
        <w:spacing w:after="120" w:line="300"/>
      </w:pPr>
      <w:r>
        <w:t xml:space="preserve">See Section 2 for certain additional defined terms.</w:t>
      </w:r>
    </w:p>
    <w:p>
      <w:pPr>
        <w:spacing w:after="80"/>
      </w:pPr>
      <w:r>
        <w:t xml:space="preserve"/>
      </w:r>
    </w:p>
    <w:p>
      <w:pPr>
        <w:pStyle w:val="Heading1"/>
        <w:spacing w:after="180" w:before="360"/>
      </w:pPr>
      <w:r>
        <w:t xml:space="preserve">1.  Events</w:t>
      </w:r>
    </w:p>
    <w:p>
      <w:pPr>
        <w:pStyle w:val="Heading2"/>
        <w:spacing w:after="120" w:before="240"/>
      </w:pPr>
      <w:r>
        <w:t xml:space="preserve">(a) Equity Financing</w:t>
      </w:r>
    </w:p>
    <w:p>
      <w:pPr>
        <w:spacing w:after="120" w:line="300"/>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120" w:line="300"/>
      </w:pPr>
      <w:r>
        <w:t xml:space="preserve">In connection with the automatic conversion of this Safe into shares of Safe Preferred Stock, the Investor will execute and deliver to the Company all of the transaction documents related to the Equity Financing; provided, that such documents are the same documents to be entered into with the purchasers of Standard Preferred Stock, with appropriate variations for the Safe Preferred Stock if applicable.</w:t>
      </w:r>
    </w:p>
    <w:p>
      <w:pPr>
        <w:pStyle w:val="Heading2"/>
        <w:spacing w:after="120" w:before="240"/>
      </w:pPr>
      <w:r>
        <w:t xml:space="preserve">(b) Liquidity Event</w:t>
      </w:r>
    </w:p>
    <w:p>
      <w:pPr>
        <w:spacing w:after="120" w:line="300"/>
      </w:pPr>
      <w:r>
        <w:t xml:space="preserve">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“Cash-Out Amount”) or (ii) the amount payable on the number of shares of Common Stock equal to the Purchase Amount divided by the Liquidity Price.</w:t>
      </w:r>
    </w:p>
    <w:p>
      <w:pPr>
        <w:pStyle w:val="Heading2"/>
        <w:spacing w:after="120" w:before="240"/>
      </w:pPr>
      <w:r>
        <w:t xml:space="preserve">(c) Dissolution Event</w:t>
      </w:r>
    </w:p>
    <w:p>
      <w:pPr>
        <w:spacing w:after="120" w:line="300"/>
      </w:pPr>
      <w:r>
        <w:t xml:space="preserve">If there is a Dissolution Event before the termination of this Safe, the Company will pay an amount equal to the Cash-Out Amount, due and payable to the Investor immediately prior to, or concurrent with, the consummation of the Dissolution Event.</w:t>
      </w:r>
    </w:p>
    <w:p>
      <w:pPr>
        <w:pStyle w:val="Heading2"/>
        <w:spacing w:after="120" w:before="240"/>
      </w:pPr>
      <w:r>
        <w:t xml:space="preserve">(d) Termination</w:t>
      </w:r>
    </w:p>
    <w:p>
      <w:pPr>
        <w:spacing w:after="120" w:line="300"/>
      </w:pPr>
      <w:r>
        <w:t xml:space="preserve">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pPr>
        <w:pStyle w:val="Heading1"/>
        <w:spacing w:after="180" w:before="360"/>
      </w:pPr>
      <w:r>
        <w:t xml:space="preserve">2.  Definitions</w:t>
      </w:r>
    </w:p>
    <w:p>
      <w:pPr>
        <w:spacing w:after="120" w:line="300"/>
      </w:pPr>
      <w:r>
        <w:t xml:space="preserve">“Capital Stock” means the capital stock of the Company, including, without limitation, the “Common Stock” and the “Preferred Stock.”</w:t>
      </w:r>
    </w:p>
    <w:p>
      <w:pPr>
        <w:spacing w:after="120" w:line="300"/>
      </w:pPr>
      <w:r>
        <w:t xml:space="preserve">“Conversion Price” means either: (i) the Safe Price; or (ii) the Discount Price, whichever calculation results in a greater number of shares of Safe Preferred Stock. The Discount is 0% (i.e., this Safe has no discount). Accordingly, the Conversion Price equals the Safe Price.</w:t>
      </w:r>
    </w:p>
    <w:p>
      <w:pPr>
        <w:spacing w:after="120" w:line="300"/>
      </w:pPr>
      <w:r>
        <w:t xml:space="preserve">“Safe Price” means the price per share equal to the Post-Money Valuation Cap divided by the Company Capitalization.</w:t>
      </w:r>
    </w:p>
    <w:p>
      <w:pPr>
        <w:spacing w:after="120" w:line="300"/>
      </w:pPr>
      <w:r>
        <w:t xml:space="preserve">“Company Capitalization” has the meaning set forth in the Y Combinator standard post-money Safe document, and is intended to be read consistently with that template.</w:t>
      </w:r>
    </w:p>
    <w:p>
      <w:pPr>
        <w:spacing w:after="120" w:line="300"/>
      </w:pPr>
      <w:r>
        <w:t xml:space="preserve">“Liquidity Event” means a Change of Control or an Initial Public Offering.</w:t>
      </w:r>
    </w:p>
    <w:p>
      <w:pPr>
        <w:spacing w:after="120" w:line="300"/>
      </w:pPr>
      <w:r>
        <w:t xml:space="preserve">“Dissolution Event” 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Heading1"/>
        <w:spacing w:after="180" w:before="360"/>
      </w:pPr>
      <w:r>
        <w:t xml:space="preserve">3.  Company Representations</w:t>
      </w:r>
    </w:p>
    <w:p>
      <w:pPr>
        <w:pStyle w:val="ListParagraph"/>
        <w:numPr>
          <w:ilvl w:val="0"/>
          <w:numId w:val="2"/>
        </w:numPr>
        <w:spacing w:after="100" w:line="300"/>
      </w:pPr>
      <w:r>
        <w:t xml:space="preserve">The Company is a Cayman Islands exempted company duly incorporated, validly existing and in good standing under the laws of the Cayman Islands.</w:t>
      </w:r>
    </w:p>
    <w:p>
      <w:pPr>
        <w:pStyle w:val="ListParagraph"/>
        <w:numPr>
          <w:ilvl w:val="0"/>
          <w:numId w:val="2"/>
        </w:numPr>
        <w:spacing w:after="100" w:line="300"/>
      </w:pPr>
      <w:r>
        <w:t xml:space="preserve">The execution, delivery and performance by the Company of this Safe is within the power of the Company and has been duly authorized by all necessary actions on the part of the Company.</w:t>
      </w:r>
    </w:p>
    <w:p>
      <w:pPr>
        <w:pStyle w:val="ListParagraph"/>
        <w:numPr>
          <w:ilvl w:val="0"/>
          <w:numId w:val="2"/>
        </w:numPr>
        <w:spacing w:after="100" w:line="300"/>
      </w:pPr>
      <w:r>
        <w:t xml:space="preserve">To the knowledge of the Company, it is not in violation of (i) its current memorandum and articles of association, (ii) any material statute, rule or regulation applicable to the Company or (iii) any material indenture or contract to which the Company is a party.</w:t>
      </w:r>
    </w:p>
    <w:p>
      <w:pPr>
        <w:pStyle w:val="ListParagraph"/>
        <w:numPr>
          <w:ilvl w:val="0"/>
          <w:numId w:val="2"/>
        </w:numPr>
        <w:spacing w:after="100" w:line="300"/>
      </w:pPr>
      <w:r>
        <w:t xml:space="preserve">No consents or approvals are required in connection with the performance of this Safe, other than the Company’s corporate approvals.</w:t>
      </w:r>
    </w:p>
    <w:p>
      <w:pPr>
        <w:pStyle w:val="ListParagraph"/>
        <w:numPr>
          <w:ilvl w:val="0"/>
          <w:numId w:val="2"/>
        </w:numPr>
        <w:spacing w:after="100" w:line="300"/>
      </w:pPr>
      <w:r>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the rights of others.</w:t>
      </w:r>
    </w:p>
    <w:p>
      <w:pPr>
        <w:pStyle w:val="Heading1"/>
        <w:spacing w:after="180" w:before="360"/>
      </w:pPr>
      <w:r>
        <w:t xml:space="preserve">4.  Investor Representations</w:t>
      </w:r>
    </w:p>
    <w:p>
      <w:pPr>
        <w:pStyle w:val="ListParagraph"/>
        <w:numPr>
          <w:ilvl w:val="0"/>
          <w:numId w:val="2"/>
        </w:numPr>
        <w:spacing w:after="100" w:line="300"/>
      </w:pPr>
      <w:r>
        <w:t xml:space="preserve">The Investor has full legal capacity, power and authority to execute and deliver this Safe and to perform its obligations hereunder.</w:t>
      </w:r>
    </w:p>
    <w:p>
      <w:pPr>
        <w:pStyle w:val="ListParagraph"/>
        <w:numPr>
          <w:ilvl w:val="0"/>
          <w:numId w:val="2"/>
        </w:numPr>
        <w:spacing w:after="100" w:line="300"/>
      </w:pPr>
      <w:r>
        <w:t xml:space="preserve">This Safe constitutes valid and binding obligation of the Investor, enforceable in accordance with its terms.</w:t>
      </w:r>
    </w:p>
    <w:p>
      <w:pPr>
        <w:pStyle w:val="ListParagraph"/>
        <w:numPr>
          <w:ilvl w:val="0"/>
          <w:numId w:val="2"/>
        </w:numPr>
        <w:spacing w:after="100" w:line="300"/>
      </w:pPr>
      <w:r>
        <w:t xml:space="preserve">The Investor is an accredited investor as such term is defined in Rule 501 of Regulation D under the Act, or an equivalent under applicable non-U.S. law.</w:t>
      </w:r>
    </w:p>
    <w:p>
      <w:pPr>
        <w:pStyle w:val="ListParagraph"/>
        <w:numPr>
          <w:ilvl w:val="0"/>
          <w:numId w:val="2"/>
        </w:numPr>
        <w:spacing w:after="100" w:line="300"/>
      </w:pPr>
      <w:r>
        <w:t xml:space="preserve">The Investor has been advised that this Safe and the underlying securities have not been registered under the Act, or any state or other applicable securities laws and, therefore, cannot be resold unless they are registered under the Act and applicable state and other securities laws or unless an exemption from such registration requirements is available.</w:t>
      </w:r>
    </w:p>
    <w:p>
      <w:pPr>
        <w:pStyle w:val="Heading1"/>
        <w:spacing w:after="180" w:before="360"/>
      </w:pPr>
      <w:r>
        <w:t xml:space="preserve">5.  Miscellaneous</w:t>
      </w:r>
    </w:p>
    <w:p>
      <w:pPr>
        <w:spacing w:after="120" w:line="300"/>
      </w:pPr>
      <w:r>
        <w:t xml:space="preserve">Any provision of this Safe may be amended, waived or modified by written consent of the Company and either (i) the Investor or (ii) the majority-in-interest of all then-outstanding Safes with the same “Post-Money Valuation Cap” and “Discount” as this Safe.</w:t>
      </w:r>
    </w:p>
    <w:p>
      <w:pPr>
        <w:spacing w:after="120" w:line="300"/>
      </w:pPr>
      <w:r>
        <w:t xml:space="preserve">This Safe will be governed by the laws of the Cayman Islands without regard to conflicts of law principles. The Company and the Investor consent to the exclusive jurisdiction of the courts of the Cayman Islands for the resolution of any disputes arising out of or relating to this Safe.</w:t>
      </w:r>
    </w:p>
    <w:p>
      <w:pPr>
        <w:spacing w:after="120" w:line="300"/>
      </w:pPr>
      <w:r>
        <w:t xml:space="preserve">This Safe shall be entitled to the benefit of any Most-Favored Nation (MFN) provisions extended by the Company to any other Safe investor in the same financing round.</w:t>
      </w:r>
    </w:p>
    <w:p>
      <w:pPr>
        <w:spacing w:after="80"/>
      </w:pPr>
      <w:r>
        <w:t xml:space="preserve"/>
      </w:r>
    </w:p>
    <w:p>
      <w:pPr>
        <w:spacing w:after="120" w:line="300"/>
        <w:rPr>
          <w:b/>
          <w:bCs/>
        </w:rPr>
      </w:pPr>
      <w:r>
        <w:rPr>
          <w:b/>
          <w:bCs/>
        </w:rPr>
        <w:t xml:space="preserve">IN WITNESS WHEREOF, the undersigned have caused this Safe to be duly executed and delivered.</w:t>
      </w:r>
    </w:p>
    <w:p>
      <w:pPr>
        <w:spacing w:after="80"/>
      </w:pPr>
      <w:r>
        <w:t xml:space="preserve"/>
      </w:r>
    </w:p>
    <w:p>
      <w:pPr>
        <w:spacing w:after="120" w:line="300"/>
      </w:pPr>
      <w:r>
        <w:t xml:space="preserve">MIZAN HOLDINGS LTD</w:t>
      </w:r>
    </w:p>
    <w:p>
      <w:pPr>
        <w:spacing w:after="120" w:line="300"/>
      </w:pPr>
      <w:r>
        <w:t xml:space="preserve">By: ____________________________________</w:t>
      </w:r>
    </w:p>
    <w:p>
      <w:pPr>
        <w:spacing w:after="120" w:line="300"/>
      </w:pPr>
      <w:r>
        <w:t xml:space="preserve">Name: jk</w:t>
      </w:r>
    </w:p>
    <w:p>
      <w:pPr>
        <w:spacing w:after="120" w:line="300"/>
      </w:pPr>
      <w:r>
        <w:t xml:space="preserve">Title: Director</w:t>
      </w:r>
    </w:p>
    <w:p>
      <w:pPr>
        <w:spacing w:after="120" w:line="300"/>
      </w:pPr>
      <w:r>
        <w:t xml:space="preserve">Date: __________________</w:t>
      </w:r>
    </w:p>
    <w:p>
      <w:pPr>
        <w:spacing w:after="80"/>
      </w:pPr>
      <w:r>
        <w:t xml:space="preserve"/>
      </w:r>
    </w:p>
    <w:p>
      <w:pPr>
        <w:spacing w:after="120" w:line="300"/>
      </w:pPr>
      <w:r>
        <w:t xml:space="preserve">INVESTOR</w:t>
      </w:r>
    </w:p>
    <w:p>
      <w:pPr>
        <w:spacing w:after="120" w:line="300"/>
      </w:pPr>
      <w:r>
        <w:t xml:space="preserve">Name: ____________________________________</w:t>
      </w:r>
    </w:p>
    <w:p>
      <w:pPr>
        <w:spacing w:after="120" w:line="300"/>
      </w:pPr>
      <w:r>
        <w:t xml:space="preserve">Signature: ____________________________________</w:t>
      </w:r>
    </w:p>
    <w:p>
      <w:pPr>
        <w:spacing w:after="120" w:line="300"/>
      </w:pPr>
      <w:r>
        <w:t xml:space="preserve">Date: __________________</w:t>
      </w:r>
    </w:p>
    <w:p>
      <w:pPr>
        <w:spacing w:after="80"/>
      </w:pPr>
      <w:r>
        <w:t xml:space="preserve"/>
      </w:r>
    </w:p>
    <w:p>
      <w:pPr>
        <w:spacing w:after="120" w:line="300"/>
        <w:rPr>
          <w:i/>
          <w:iCs/>
          <w:color w:val="888888"/>
          <w:sz w:val="18"/>
          <w:szCs w:val="18"/>
        </w:rPr>
      </w:pPr>
      <w:r>
        <w:rPr>
          <w:i/>
          <w:iCs/>
          <w:color w:val="888888"/>
          <w:sz w:val="18"/>
          <w:szCs w:val="18"/>
        </w:rPr>
        <w:t xml:space="preserve">DRAFTING NOTE (delete before signing): This is a starter template based on the Y Combinator post-money SAFE form, adapted for a Cayman Islands holding company. You MUST have this reviewed and finalized by qualified counsel (recommended: Walkers, Conyers, or Maples for Cayman + Deacons for HK overlay). Section references to the YC standard form are intentional; counsel should confirm or substitute the full operative text.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SAFE — Post-Money Valuation Cap  ·  Mizan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 Post-Money Valuation Cap</dc:title>
  <dc:creator>Claude (for Mizan)</dc:creator>
  <cp:lastModifiedBy>Un-named</cp:lastModifiedBy>
  <cp:revision>1</cp:revision>
  <dcterms:created xsi:type="dcterms:W3CDTF">2026-05-19T18:27:20.745Z</dcterms:created>
  <dcterms:modified xsi:type="dcterms:W3CDTF">2026-05-19T18:27:20.746Z</dcterms:modified>
</cp:coreProperties>
</file>

<file path=docProps/custom.xml><?xml version="1.0" encoding="utf-8"?>
<Properties xmlns="http://schemas.openxmlformats.org/officeDocument/2006/custom-properties" xmlns:vt="http://schemas.openxmlformats.org/officeDocument/2006/docPropsVTypes"/>
</file>