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rPr>
          <w:b/>
          <w:bCs/>
          <w:sz w:val="26"/>
          <w:szCs w:val="26"/>
        </w:rPr>
      </w:pPr>
      <w:r>
        <w:rPr>
          <w:b/>
          <w:bCs/>
          <w:sz w:val="26"/>
          <w:szCs w:val="26"/>
        </w:rPr>
        <w:t xml:space="preserve">SHARIAH SUPERVISORY BOARD ENGAGEMENT LETTER</w:t>
      </w:r>
    </w:p>
    <w:p>
      <w:pPr>
        <w:spacing w:after="80"/>
      </w:pPr>
      <w:r>
        <w:t xml:space="preserve"/>
      </w:r>
    </w:p>
    <w:p>
      <w:pPr>
        <w:spacing w:after="120" w:line="300"/>
      </w:pPr>
      <w:r>
        <w:t xml:space="preserve">Dear [SCHOLAR NAME],</w:t>
      </w:r>
    </w:p>
    <w:p>
      <w:pPr>
        <w:spacing w:after="80"/>
      </w:pPr>
      <w:r>
        <w:t xml:space="preserve"/>
      </w:r>
    </w:p>
    <w:p>
      <w:pPr>
        <w:spacing w:after="120" w:line="300"/>
      </w:pPr>
      <w:r>
        <w:t xml:space="preserve">We are honoured to invite you to serve as a member of the Shariah Supervisory Board (the “Board”) of Mizan Holdings Ltd and its subsidiaries (collectively, “Mizan” or the “Company”). This letter sets out the proposed scope, term, compensation and governance of your engagement, subject to the terms of a definitive engagement agreement to be executed by both parties.</w:t>
      </w:r>
    </w:p>
    <w:p>
      <w:pPr>
        <w:spacing w:after="80"/>
      </w:pPr>
      <w:r>
        <w:t xml:space="preserve"/>
      </w:r>
    </w:p>
    <w:p>
      <w:pPr>
        <w:pStyle w:val="Heading1"/>
        <w:spacing w:after="180" w:before="360"/>
      </w:pPr>
      <w:r>
        <w:t xml:space="preserve">1.  Mission of the Board</w:t>
      </w:r>
    </w:p>
    <w:p>
      <w:pPr>
        <w:spacing w:after="120" w:line="300"/>
      </w:pPr>
      <w:r>
        <w:t xml:space="preserve">Mizan is building the first stock screening and halal investing platform that adapts to multiple scholarly methodologies — including AAOIFI, Mufti Taqi Usmani's published rulings, the Dow Jones Islamic Market methodology, Ja'fari scholarship aligned with Ayatollah Sistani's rulings, and a strict zero-tolerance reading. The Board's role is to ensure that every screening methodology, every product release, and every public communication accurately reflects the scholarship it claims to represent.</w:t>
      </w:r>
    </w:p>
    <w:p>
      <w:pPr>
        <w:pStyle w:val="Heading1"/>
        <w:spacing w:after="180" w:before="360"/>
      </w:pPr>
      <w:r>
        <w:t xml:space="preserve">2.  Scope of Duties</w:t>
      </w:r>
    </w:p>
    <w:p>
      <w:pPr>
        <w:pStyle w:val="ListParagraph"/>
        <w:numPr>
          <w:ilvl w:val="0"/>
          <w:numId w:val="2"/>
        </w:numPr>
        <w:spacing w:after="100" w:line="300"/>
      </w:pPr>
      <w:r>
        <w:t xml:space="preserve">Review and approve every screening preset offered in the product before it ships.</w:t>
      </w:r>
    </w:p>
    <w:p>
      <w:pPr>
        <w:pStyle w:val="ListParagraph"/>
        <w:numPr>
          <w:ilvl w:val="0"/>
          <w:numId w:val="2"/>
        </w:numPr>
        <w:spacing w:after="100" w:line="300"/>
      </w:pPr>
      <w:r>
        <w:t xml:space="preserve">Review proposed methodology changes and provide written sign-off.</w:t>
      </w:r>
    </w:p>
    <w:p>
      <w:pPr>
        <w:pStyle w:val="ListParagraph"/>
        <w:numPr>
          <w:ilvl w:val="0"/>
          <w:numId w:val="2"/>
        </w:numPr>
        <w:spacing w:after="100" w:line="300"/>
      </w:pPr>
      <w:r>
        <w:t xml:space="preserve">Provide oversight of the AI scholar Q&amp;A system, including review of system prompts, allowed scope, and a sample audit of outputs each quarter.</w:t>
      </w:r>
    </w:p>
    <w:p>
      <w:pPr>
        <w:pStyle w:val="ListParagraph"/>
        <w:numPr>
          <w:ilvl w:val="0"/>
          <w:numId w:val="2"/>
        </w:numPr>
        <w:spacing w:after="100" w:line="300"/>
      </w:pPr>
      <w:r>
        <w:t xml:space="preserve">Meet quarterly with the executive team to review product roadmap and any user-raised Shariah concerns.</w:t>
      </w:r>
    </w:p>
    <w:p>
      <w:pPr>
        <w:pStyle w:val="ListParagraph"/>
        <w:numPr>
          <w:ilvl w:val="0"/>
          <w:numId w:val="2"/>
        </w:numPr>
        <w:spacing w:after="100" w:line="300"/>
      </w:pPr>
      <w:r>
        <w:t xml:space="preserve">Publish a public Annual Shariah Report co-signed by the Board, modelled on industry practice.</w:t>
      </w:r>
    </w:p>
    <w:p>
      <w:pPr>
        <w:pStyle w:val="ListParagraph"/>
        <w:numPr>
          <w:ilvl w:val="0"/>
          <w:numId w:val="2"/>
        </w:numPr>
        <w:spacing w:after="100" w:line="300"/>
      </w:pPr>
      <w:r>
        <w:t xml:space="preserve">Be available for media inquiries and investor due-diligence calls upon reasonable notice.</w:t>
      </w:r>
    </w:p>
    <w:p>
      <w:pPr>
        <w:pStyle w:val="Heading1"/>
        <w:spacing w:after="180" w:before="360"/>
      </w:pPr>
      <w:r>
        <w:t xml:space="preserve">3.  Term and Termination</w:t>
      </w:r>
    </w:p>
    <w:p>
      <w:pPr>
        <w:pStyle w:val="ListParagraph"/>
        <w:numPr>
          <w:ilvl w:val="0"/>
          <w:numId w:val="2"/>
        </w:numPr>
        <w:spacing w:after="100" w:line="300"/>
      </w:pPr>
      <w:r>
        <w:t xml:space="preserve">Initial term: three (3) years from the date of execution.</w:t>
      </w:r>
    </w:p>
    <w:p>
      <w:pPr>
        <w:pStyle w:val="ListParagraph"/>
        <w:numPr>
          <w:ilvl w:val="0"/>
          <w:numId w:val="2"/>
        </w:numPr>
        <w:spacing w:after="100" w:line="300"/>
      </w:pPr>
      <w:r>
        <w:t xml:space="preserve">Either party may terminate this engagement with sixty (60) days written notice for any reason.</w:t>
      </w:r>
    </w:p>
    <w:p>
      <w:pPr>
        <w:pStyle w:val="ListParagraph"/>
        <w:numPr>
          <w:ilvl w:val="0"/>
          <w:numId w:val="2"/>
        </w:numPr>
        <w:spacing w:after="100" w:line="300"/>
      </w:pPr>
      <w:r>
        <w:t xml:space="preserve">Mizan may terminate immediately for cause, including but not limited to material breach of confidentiality or material non-performance.</w:t>
      </w:r>
    </w:p>
    <w:p>
      <w:pPr>
        <w:pStyle w:val="ListParagraph"/>
        <w:numPr>
          <w:ilvl w:val="0"/>
          <w:numId w:val="2"/>
        </w:numPr>
        <w:spacing w:after="100" w:line="300"/>
      </w:pPr>
      <w:r>
        <w:t xml:space="preserve">Upon termination, all vested equity remains with the scholar; unvested equity reverts to the Company in accordance with Section 5.</w:t>
      </w:r>
    </w:p>
    <w:p>
      <w:pPr>
        <w:pStyle w:val="Heading1"/>
        <w:spacing w:after="180" w:before="360"/>
      </w:pPr>
      <w:r>
        <w:t xml:space="preserve">4.  Compensation — Cash Retainer</w:t>
      </w:r>
    </w:p>
    <w:p>
      <w:pPr>
        <w:pStyle w:val="ListParagraph"/>
        <w:numPr>
          <w:ilvl w:val="0"/>
          <w:numId w:val="2"/>
        </w:numPr>
        <w:spacing w:after="100" w:line="300"/>
      </w:pPr>
      <w:r>
        <w:t xml:space="preserve">Annual retainer of US$[35,000 / 30,000 / 25,000] for the Chair / Member / Member roles respectively, payable in equal quarterly installments at the end of each calendar quarter.</w:t>
      </w:r>
    </w:p>
    <w:p>
      <w:pPr>
        <w:pStyle w:val="ListParagraph"/>
        <w:numPr>
          <w:ilvl w:val="0"/>
          <w:numId w:val="2"/>
        </w:numPr>
        <w:spacing w:after="100" w:line="300"/>
      </w:pPr>
      <w:r>
        <w:t xml:space="preserve">Reasonable expenses (travel, technology, research) reimbursable upon submission of receipts.</w:t>
      </w:r>
    </w:p>
    <w:p>
      <w:pPr>
        <w:pStyle w:val="Heading1"/>
        <w:spacing w:after="180" w:before="360"/>
      </w:pPr>
      <w:r>
        <w:t xml:space="preserve">5.  Compensation — Equity</w:t>
      </w:r>
    </w:p>
    <w:p>
      <w:pPr>
        <w:pStyle w:val="ListParagraph"/>
        <w:numPr>
          <w:ilvl w:val="0"/>
          <w:numId w:val="2"/>
        </w:numPr>
        <w:spacing w:after="100" w:line="300"/>
      </w:pPr>
      <w:r>
        <w:t xml:space="preserve">Grant of restricted stock representing 0.5% of the fully-diluted equity of Mizan Holdings Ltd as of the date of grant.</w:t>
      </w:r>
    </w:p>
    <w:p>
      <w:pPr>
        <w:pStyle w:val="ListParagraph"/>
        <w:numPr>
          <w:ilvl w:val="0"/>
          <w:numId w:val="2"/>
        </w:numPr>
        <w:spacing w:after="100" w:line="300"/>
      </w:pPr>
      <w:r>
        <w:t xml:space="preserve">Vesting: three-year vesting with a one-year cliff. 33.3% of the equity vests on the first anniversary of the engagement; the remaining 66.7% vests in equal monthly installments over the following twenty-four (24) months.</w:t>
      </w:r>
    </w:p>
    <w:p>
      <w:pPr>
        <w:pStyle w:val="ListParagraph"/>
        <w:numPr>
          <w:ilvl w:val="0"/>
          <w:numId w:val="2"/>
        </w:numPr>
        <w:spacing w:after="100" w:line="300"/>
      </w:pPr>
      <w:r>
        <w:t xml:space="preserve">Unvested equity is subject to forfeiture upon termination of the engagement for any reason.</w:t>
      </w:r>
    </w:p>
    <w:p>
      <w:pPr>
        <w:pStyle w:val="ListParagraph"/>
        <w:numPr>
          <w:ilvl w:val="0"/>
          <w:numId w:val="2"/>
        </w:numPr>
        <w:spacing w:after="100" w:line="300"/>
      </w:pPr>
      <w:r>
        <w:t xml:space="preserve">Single-trigger acceleration upon a Change of Control of the Company.</w:t>
      </w:r>
    </w:p>
    <w:p>
      <w:pPr>
        <w:pStyle w:val="Heading1"/>
        <w:spacing w:after="180" w:before="360"/>
      </w:pPr>
      <w:r>
        <w:t xml:space="preserve">6.  Confidentiality</w:t>
      </w:r>
    </w:p>
    <w:p>
      <w:pPr>
        <w:spacing w:after="120" w:line="300"/>
      </w:pPr>
      <w:r>
        <w:t xml:space="preserve">The scholar agrees to hold in strict confidence all non-public information learned in the course of this engagement, including but not limited to product roadmap, financial information, scholarly deliberations of the Board, and identities of other Board members where they have not been made public. This obligation survives termination of the engagement indefinitely.</w:t>
      </w:r>
    </w:p>
    <w:p>
      <w:pPr>
        <w:pStyle w:val="Heading1"/>
        <w:spacing w:after="180" w:before="360"/>
      </w:pPr>
      <w:r>
        <w:t xml:space="preserve">7.  Independence and Conflicts</w:t>
      </w:r>
    </w:p>
    <w:p>
      <w:pPr>
        <w:pStyle w:val="ListParagraph"/>
        <w:numPr>
          <w:ilvl w:val="0"/>
          <w:numId w:val="2"/>
        </w:numPr>
        <w:spacing w:after="100" w:line="300"/>
      </w:pPr>
      <w:r>
        <w:t xml:space="preserve">The scholar represents that they may simultaneously serve on the Shariah boards of unrelated institutions, provided that such service does not create a material conflict of interest.</w:t>
      </w:r>
    </w:p>
    <w:p>
      <w:pPr>
        <w:pStyle w:val="ListParagraph"/>
        <w:numPr>
          <w:ilvl w:val="0"/>
          <w:numId w:val="2"/>
        </w:numPr>
        <w:spacing w:after="100" w:line="300"/>
      </w:pPr>
      <w:r>
        <w:t xml:space="preserve">The scholar shall promptly disclose to the Company any actual or potential conflict of interest arising from other engagements.</w:t>
      </w:r>
    </w:p>
    <w:p>
      <w:pPr>
        <w:pStyle w:val="ListParagraph"/>
        <w:numPr>
          <w:ilvl w:val="0"/>
          <w:numId w:val="2"/>
        </w:numPr>
        <w:spacing w:after="100" w:line="300"/>
      </w:pPr>
      <w:r>
        <w:t xml:space="preserve">The scholar's published rulings remain their own intellectual property; Mizan is granted only a non-exclusive license to display and apply such rulings within the product, with full attribution.</w:t>
      </w:r>
    </w:p>
    <w:p>
      <w:pPr>
        <w:pStyle w:val="Heading1"/>
        <w:spacing w:after="180" w:before="360"/>
      </w:pPr>
      <w:r>
        <w:t xml:space="preserve">8.  Governing Law and Dispute Resolution</w:t>
      </w:r>
    </w:p>
    <w:p>
      <w:pPr>
        <w:spacing w:after="120" w:line="300"/>
      </w:pPr>
      <w:r>
        <w:t xml:space="preserve">This engagement shall be governed by the laws of the Cayman Islands. Any dispute shall first be attempted to be resolved by good-faith negotiation; failing which, the dispute shall be referred to arbitration administered by the Hong Kong International Arbitration Centre under the HKIAC rules in force.</w:t>
      </w:r>
    </w:p>
    <w:p>
      <w:pPr>
        <w:pStyle w:val="Heading1"/>
        <w:spacing w:after="180" w:before="360"/>
      </w:pPr>
      <w:r>
        <w:t xml:space="preserve">9.  Acceptance</w:t>
      </w:r>
    </w:p>
    <w:p>
      <w:pPr>
        <w:spacing w:after="120" w:line="300"/>
      </w:pPr>
      <w:r>
        <w:t xml:space="preserve">If the foregoing terms are acceptable to you, kindly countersign below. Upon countersignature, the parties will proceed to execute a definitive engagement agreement reflecting these terms.</w:t>
      </w:r>
    </w:p>
    <w:p>
      <w:pPr>
        <w:spacing w:after="80"/>
      </w:pPr>
      <w:r>
        <w:t xml:space="preserve"/>
      </w:r>
    </w:p>
    <w:p>
      <w:pPr>
        <w:spacing w:after="120" w:line="300"/>
        <w:rPr>
          <w:i/>
          <w:iCs/>
        </w:rPr>
      </w:pPr>
      <w:r>
        <w:rPr>
          <w:i/>
          <w:iCs/>
        </w:rPr>
        <w:t xml:space="preserve">With the deepest respect,</w:t>
      </w:r>
    </w:p>
    <w:p>
      <w:pPr>
        <w:spacing w:after="80"/>
      </w:pPr>
      <w:r>
        <w:t xml:space="preserve"/>
      </w:r>
    </w:p>
    <w:p>
      <w:pPr>
        <w:spacing w:after="120" w:line="300"/>
      </w:pPr>
      <w:r>
        <w:t xml:space="preserve">jk</w:t>
      </w:r>
    </w:p>
    <w:p>
      <w:pPr>
        <w:spacing w:after="120" w:line="300"/>
      </w:pPr>
      <w:r>
        <w:t xml:space="preserve">Founder and CEO, Mizan Holdings Ltd</w:t>
      </w:r>
    </w:p>
    <w:p>
      <w:pPr>
        <w:spacing w:after="120" w:line="300"/>
      </w:pPr>
      <w:r>
        <w:t xml:space="preserve">jk@mizan.app</w:t>
      </w:r>
    </w:p>
    <w:p>
      <w:pPr>
        <w:spacing w:after="80"/>
      </w:pPr>
      <w:r>
        <w:t xml:space="preserve"/>
      </w:r>
    </w:p>
    <w:p>
      <w:pPr>
        <w:spacing w:after="120" w:line="300"/>
        <w:rPr>
          <w:b/>
          <w:bCs/>
        </w:rPr>
      </w:pPr>
      <w:r>
        <w:rPr>
          <w:b/>
          <w:bCs/>
        </w:rPr>
        <w:t xml:space="preserve">ACCEPTED AND AGREED:</w:t>
      </w:r>
    </w:p>
    <w:p>
      <w:pPr>
        <w:spacing w:after="120" w:line="300"/>
      </w:pPr>
      <w:r>
        <w:t xml:space="preserve">Signature: ____________________________________</w:t>
      </w:r>
    </w:p>
    <w:p>
      <w:pPr>
        <w:spacing w:after="120" w:line="300"/>
      </w:pPr>
      <w:r>
        <w:t xml:space="preserve">Name: ____________________________________</w:t>
      </w:r>
    </w:p>
    <w:p>
      <w:pPr>
        <w:spacing w:after="120" w:line="300"/>
      </w:pPr>
      <w:r>
        <w:t xml:space="preserve">Date: __________________</w:t>
      </w:r>
    </w:p>
    <w:p>
      <w:pPr>
        <w:spacing w:after="80"/>
      </w:pPr>
      <w:r>
        <w:t xml:space="preserve"/>
      </w:r>
    </w:p>
    <w:p>
      <w:pPr>
        <w:spacing w:after="120" w:line="300"/>
        <w:rPr>
          <w:i/>
          <w:iCs/>
          <w:color w:val="888888"/>
          <w:sz w:val="18"/>
          <w:szCs w:val="18"/>
        </w:rPr>
      </w:pPr>
      <w:r>
        <w:rPr>
          <w:i/>
          <w:iCs/>
          <w:color w:val="888888"/>
          <w:sz w:val="18"/>
          <w:szCs w:val="18"/>
        </w:rPr>
        <w:t xml:space="preserve">DRAFTING NOTE: This is a starter letter. Before sending, fill in the scholar's name, role (Chair vs Member), and the corresponding cash retainer figure from Section 4. Have a Cayman counsel review before issuing equity. Mufti Faraz Adam is the target Chair; Sheikh Joe Bradford is the target US/Hanbali Member; the Ja'fari Member should be sourced from the Al-Mahdi Institute or equivalent.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Shariah Board Engagement Letter  ·  Mizan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Shariah Board Engagement Letter</dc:title>
  <dc:creator>Claude (for Mizan)</dc:creator>
  <cp:lastModifiedBy>Un-named</cp:lastModifiedBy>
  <cp:revision>1</cp:revision>
  <dcterms:created xsi:type="dcterms:W3CDTF">2026-05-19T18:27:20.789Z</dcterms:created>
  <dcterms:modified xsi:type="dcterms:W3CDTF">2026-05-19T18:27:20.789Z</dcterms:modified>
</cp:coreProperties>
</file>

<file path=docProps/custom.xml><?xml version="1.0" encoding="utf-8"?>
<Properties xmlns="http://schemas.openxmlformats.org/officeDocument/2006/custom-properties" xmlns:vt="http://schemas.openxmlformats.org/officeDocument/2006/docPropsVTypes"/>
</file>