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14279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E3A38B9" w14:textId="3F78B128" w:rsidR="008456F0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6312" w:history="1">
            <w:r w:rsidR="008456F0" w:rsidRPr="00E85188">
              <w:rPr>
                <w:rStyle w:val="Hyperlink"/>
                <w:noProof/>
              </w:rPr>
              <w:t>Introduction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A9EC31C" w14:textId="309DE99B" w:rsidR="008456F0" w:rsidRDefault="008456F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3" w:history="1">
            <w:r w:rsidRPr="00E85188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E1F5" w14:textId="675818CE" w:rsidR="008456F0" w:rsidRDefault="008456F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4" w:history="1">
            <w:r w:rsidRPr="00E85188">
              <w:rPr>
                <w:rStyle w:val="Hyperlink"/>
                <w:noProof/>
              </w:rPr>
              <w:t>Autoflight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7D93" w14:textId="121536A7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5" w:history="1">
            <w:r w:rsidRPr="00E85188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36C3" w14:textId="3A40EE93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6" w:history="1">
            <w:r w:rsidRPr="00E85188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9FD2" w14:textId="62B638BF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7" w:history="1">
            <w:r w:rsidRPr="00E85188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11FB" w14:textId="731E9D60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8" w:history="1">
            <w:r w:rsidRPr="00E85188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AA17" w14:textId="23201E9A" w:rsidR="008456F0" w:rsidRDefault="008456F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9" w:history="1">
            <w:r w:rsidRPr="00E85188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2160" w14:textId="7781A62C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0" w:history="1">
            <w:r w:rsidRPr="00E85188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44CD" w14:textId="40384FE4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1" w:history="1">
            <w:r w:rsidRPr="00E85188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6004" w14:textId="65E8C674" w:rsidR="008456F0" w:rsidRDefault="008456F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2" w:history="1">
            <w:r w:rsidRPr="00E85188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3060" w14:textId="0E0BC3E1" w:rsidR="008456F0" w:rsidRDefault="008456F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3" w:history="1">
            <w:r w:rsidRPr="00E85188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B22F" w14:textId="12CD60BB" w:rsidR="008456F0" w:rsidRDefault="008456F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4" w:history="1">
            <w:r w:rsidRPr="00E85188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90B6" w14:textId="0AD0FC8A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5" w:history="1">
            <w:r w:rsidRPr="00E85188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7594" w14:textId="37EBBE69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6" w:history="1">
            <w:r w:rsidRPr="00E85188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71FB" w14:textId="697B13EC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7" w:history="1">
            <w:r w:rsidRPr="00E85188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5B09" w14:textId="0214A113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8" w:history="1">
            <w:r w:rsidRPr="00E85188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5298" w14:textId="3AFA5B84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9" w:history="1">
            <w:r w:rsidRPr="00E85188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6165" w14:textId="5650318E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0" w:history="1">
            <w:r w:rsidRPr="00E85188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20CD" w14:textId="11FF4114" w:rsidR="008456F0" w:rsidRDefault="008456F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1" w:history="1">
            <w:r w:rsidRPr="00E85188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5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11D652C2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0906312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0906313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0906314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0906315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0906316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0906317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0906318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5E99E246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  <w:r w:rsidR="005F50CE">
        <w:t xml:space="preserve"> 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0906319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0906320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2613C29E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7D5E667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FLEX</w:t>
      </w:r>
      <w:r w:rsidR="0046450C">
        <w:t>.</w:t>
      </w:r>
      <w:r w:rsidR="000A1DDE">
        <w:br/>
      </w:r>
    </w:p>
    <w:p w14:paraId="346DED65" w14:textId="556BFAE9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FLEX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1EFF34D1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</w:t>
      </w:r>
      <w:r w:rsidR="00593971">
        <w:t xml:space="preserve">selected </w:t>
      </w:r>
      <w:r w:rsidR="000E0617">
        <w:t>speed</w:t>
      </w:r>
      <w:r w:rsidR="00B11AFD">
        <w:t>.</w:t>
      </w:r>
      <w:r w:rsidR="00B11AFD">
        <w:br/>
      </w:r>
    </w:p>
    <w:p w14:paraId="797711DC" w14:textId="0F1A6067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0171FE">
        <w:t xml:space="preserve"> ATS</w:t>
      </w:r>
      <w:r>
        <w:t xml:space="preserve"> spee</w:t>
      </w:r>
      <w:r w:rsidR="00593971">
        <w:t>d</w:t>
      </w:r>
      <w:r w:rsidR="00C95CBF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C95CBF">
        <w:t xml:space="preserve"> select</w:t>
      </w:r>
      <w:r w:rsidR="00675F9B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6B00DAEF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selected heading.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4E47A03C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</w:t>
      </w:r>
      <w:r w:rsidR="00383820">
        <w:t xml:space="preserve"> select</w:t>
      </w:r>
      <w:r>
        <w:t>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05E1B92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555724">
        <w:t>vertical speed select.</w:t>
      </w:r>
      <w:r w:rsidR="00567B54">
        <w:br/>
      </w:r>
      <w:r w:rsidR="0018542B">
        <w:t>Turning i</w:t>
      </w:r>
      <w:r w:rsidR="00567B54">
        <w:t>n IAS mode adjusts the airspeed select for IAS vertical mode.</w:t>
      </w:r>
      <w:r w:rsidR="00567B54">
        <w:br/>
      </w:r>
      <w:r w:rsidR="0018542B">
        <w:t>Turning i</w:t>
      </w:r>
      <w:r w:rsidR="00567B54">
        <w:t>n MACH mode adjusts the mach select for MACH vertical mode.</w:t>
      </w:r>
      <w:r w:rsidR="00567B54">
        <w:br/>
      </w:r>
      <w:r w:rsidR="0018542B">
        <w:t>Turning i</w:t>
      </w:r>
      <w:r w:rsidR="00567B54">
        <w:t xml:space="preserve">n TURB mode adjusts the pitch </w:t>
      </w:r>
      <w:r w:rsidR="00D25E48">
        <w:t>angle</w:t>
      </w:r>
      <w:r w:rsidR="00F00E7A">
        <w:t xml:space="preserve"> </w:t>
      </w:r>
      <w:r w:rsidR="00567B54">
        <w:t>select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d</w:t>
      </w:r>
      <w:r w:rsidR="00AA2CFB">
        <w:t>isarms G/S and AUT LND</w:t>
      </w:r>
      <w:r w:rsidR="002207C3">
        <w:t>.</w:t>
      </w:r>
      <w:r w:rsidR="00B13D06">
        <w:br/>
      </w:r>
    </w:p>
    <w:p w14:paraId="4B3E7EC4" w14:textId="2AE99E69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AA2CFB">
        <w:t>Disarms G/S and AUT LND</w:t>
      </w:r>
      <w:r w:rsidR="00934F81">
        <w:t>.</w:t>
      </w:r>
      <w:r w:rsidR="006E5A6F">
        <w:br/>
      </w:r>
    </w:p>
    <w:p w14:paraId="17721A85" w14:textId="09F3BDEF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27,000ft, engages IAS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D5776F">
        <w:br/>
        <w:t>If above 27,000ft, engages MACH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75BCEEB1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8F1A5B">
        <w:t>Disarms G/S and AUT LND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14EE4149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387CE1">
        <w:t xml:space="preserve">Disarms G/S and </w:t>
      </w:r>
      <w:r w:rsidR="00D56B1A">
        <w:t xml:space="preserve">AUT </w:t>
      </w:r>
      <w:r w:rsidR="00387CE1">
        <w:t>LND</w:t>
      </w:r>
      <w:r w:rsidR="00ED206E">
        <w:t>.</w:t>
      </w:r>
      <w:r w:rsidR="00C96371">
        <w:br/>
      </w:r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r w:rsidR="00BA7375">
        <w:br/>
      </w:r>
    </w:p>
    <w:p w14:paraId="799ED7A8" w14:textId="71478D2C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2B05AA">
        <w:t>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030EC861" w:rsidR="008F41D1" w:rsidRDefault="008F41D1"/>
    <w:bookmarkStart w:id="11" w:name="_Toc160906321"/>
    <w:p w14:paraId="2B953A6D" w14:textId="6C5A7DDB" w:rsidR="008F41D1" w:rsidRDefault="00742A39" w:rsidP="008F41D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1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70503952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>
        <w:t>THROTTLE light on the FMA will flash red. Second press silences the warning.</w:t>
      </w:r>
      <w:r>
        <w:br/>
      </w:r>
    </w:p>
    <w:p w14:paraId="4934BFE8" w14:textId="178A0B89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B737C7">
        <w:t xml:space="preserve">Engages </w:t>
      </w:r>
      <w:r w:rsidR="00D72234">
        <w:t>GO RND</w:t>
      </w:r>
      <w:r w:rsidR="00B737C7">
        <w:t xml:space="preserve"> modes. </w:t>
      </w:r>
      <w:r w:rsidR="00D72234">
        <w:t>The Thrust Rating Indicator will switch to GA</w:t>
      </w:r>
      <w:r w:rsidR="00834784">
        <w:t>.</w:t>
      </w:r>
      <w:r w:rsidR="000171FE">
        <w:t xml:space="preserve"> The ATS</w:t>
      </w:r>
      <w:r w:rsidR="00D72234">
        <w:t xml:space="preserve"> will switch to EPR G/A </w:t>
      </w:r>
      <w:r w:rsidR="00834784">
        <w:t>and</w:t>
      </w:r>
      <w:r w:rsidR="00B737C7">
        <w:t xml:space="preserve"> </w:t>
      </w:r>
      <w:r w:rsidR="00586398">
        <w:t xml:space="preserve">the </w:t>
      </w:r>
      <w:r w:rsidR="00B737C7">
        <w:t xml:space="preserve">throttles </w:t>
      </w:r>
      <w:r w:rsidR="00586398">
        <w:t xml:space="preserve">will be set </w:t>
      </w:r>
      <w:r w:rsidR="00B737C7">
        <w:t xml:space="preserve">to the Go Around Thrust limit. If the gear is on the ground and the AP is on, it will disconnect. Button has no effect above </w:t>
      </w:r>
      <w:r w:rsidR="009A00A8">
        <w:t>1</w:t>
      </w:r>
      <w:r w:rsidR="00B737C7">
        <w:t>500ft radio altitude.</w:t>
      </w:r>
    </w:p>
    <w:p w14:paraId="1B68E1FB" w14:textId="77777777" w:rsidR="00BB5ADC" w:rsidRDefault="00BB5ADC" w:rsidP="00BB5ADC"/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2" w:name="_Toc160906322"/>
      <w:r>
        <w:lastRenderedPageBreak/>
        <w:t>Mach Trim</w:t>
      </w:r>
      <w:bookmarkEnd w:id="12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3" w:name="_Toc160906323"/>
      <w:r>
        <w:t>Yaw Damper</w:t>
      </w:r>
      <w:bookmarkEnd w:id="13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1081E512" w:rsidR="00590552" w:rsidRDefault="00590552"/>
    <w:p w14:paraId="4947A1D6" w14:textId="0571C7D7" w:rsidR="00590552" w:rsidRDefault="00590552" w:rsidP="00590552">
      <w:pPr>
        <w:pStyle w:val="Heading1"/>
      </w:pPr>
      <w:bookmarkStart w:id="14" w:name="_Toc160906324"/>
      <w:r>
        <w:t>Procedures</w:t>
      </w:r>
      <w:bookmarkEnd w:id="14"/>
    </w:p>
    <w:p w14:paraId="3F233913" w14:textId="0225D211" w:rsidR="009C0A29" w:rsidRDefault="00E93494" w:rsidP="00E93494">
      <w:pPr>
        <w:pStyle w:val="Heading2"/>
      </w:pPr>
      <w:bookmarkStart w:id="15" w:name="_Toc160906325"/>
      <w:r>
        <w:t>Takeoff and Climb</w:t>
      </w:r>
      <w:bookmarkEnd w:id="15"/>
    </w:p>
    <w:p w14:paraId="7D60D65B" w14:textId="30FD794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FLEX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64468A78" w:rsidR="00BF7647" w:rsidRDefault="00BF7647" w:rsidP="00336315">
      <w:pPr>
        <w:pStyle w:val="ListParagraph"/>
        <w:numPr>
          <w:ilvl w:val="0"/>
          <w:numId w:val="15"/>
        </w:numPr>
      </w:pPr>
      <w:r>
        <w:t>Slowly spool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1C681A53" w14:textId="35C6C588" w:rsidR="00507720" w:rsidRDefault="00507720"/>
    <w:p w14:paraId="562D786C" w14:textId="77777777" w:rsidR="00471E0E" w:rsidRDefault="00471E0E"/>
    <w:p w14:paraId="09F4C848" w14:textId="77777777" w:rsidR="00471E0E" w:rsidRDefault="00471E0E"/>
    <w:p w14:paraId="3747D87B" w14:textId="77777777" w:rsidR="00471E0E" w:rsidRDefault="00471E0E"/>
    <w:p w14:paraId="02C30E13" w14:textId="04FAD49F" w:rsidR="00B44EDF" w:rsidRDefault="00B44EDF" w:rsidP="00B44EDF">
      <w:pPr>
        <w:pStyle w:val="Heading2"/>
      </w:pPr>
      <w:bookmarkStart w:id="16" w:name="_Toc160906326"/>
      <w:r>
        <w:lastRenderedPageBreak/>
        <w:t>Engaging the AP or</w:t>
      </w:r>
      <w:r w:rsidR="000171FE">
        <w:t xml:space="preserve"> ATS</w:t>
      </w:r>
      <w:bookmarkEnd w:id="16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5FF37F91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17" w:name="_Toc160906327"/>
      <w:r>
        <w:t>Disengaging the AP or</w:t>
      </w:r>
      <w:r w:rsidR="000171FE">
        <w:t xml:space="preserve"> ATS</w:t>
      </w:r>
      <w:bookmarkEnd w:id="17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18" w:name="_Toc152889625"/>
      <w:bookmarkStart w:id="19" w:name="_Toc160906328"/>
      <w:r>
        <w:t>Climbing to a New Altitude</w:t>
      </w:r>
      <w:bookmarkEnd w:id="18"/>
      <w:bookmarkEnd w:id="19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318AF5F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59C76A86" w14:textId="397DF2BF" w:rsidR="00E96A0B" w:rsidRDefault="008D30BA" w:rsidP="00E96A0B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359C3B4A" w14:textId="77777777" w:rsidR="001321D2" w:rsidRDefault="001321D2" w:rsidP="001321D2"/>
    <w:p w14:paraId="2F7FB40E" w14:textId="4EF0EEA0" w:rsidR="00107907" w:rsidRDefault="00107907" w:rsidP="00107907">
      <w:pPr>
        <w:pStyle w:val="Heading2"/>
      </w:pPr>
      <w:bookmarkStart w:id="20" w:name="_Toc160906329"/>
      <w:r>
        <w:t>Descending to a New Altitude</w:t>
      </w:r>
      <w:bookmarkEnd w:id="20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21901D1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1" w:name="_Toc152889626"/>
      <w:bookmarkStart w:id="22" w:name="_Toc160906330"/>
      <w:r>
        <w:t>Performing an ILS Approach or Autoland</w:t>
      </w:r>
      <w:bookmarkEnd w:id="21"/>
      <w:bookmarkEnd w:id="22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3" w:name="_Toc152889628"/>
      <w:bookmarkStart w:id="24" w:name="_Toc160906331"/>
      <w:r>
        <w:lastRenderedPageBreak/>
        <w:t>Tracking a VOR Radial</w:t>
      </w:r>
      <w:bookmarkEnd w:id="23"/>
      <w:r w:rsidR="00C2740D">
        <w:t xml:space="preserve"> or ILS Localizer</w:t>
      </w:r>
      <w:bookmarkEnd w:id="24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799C284F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VOR/LOC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1427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CEB9" w14:textId="77777777" w:rsidR="0014279A" w:rsidRDefault="0014279A" w:rsidP="00946F20">
      <w:pPr>
        <w:spacing w:after="0" w:line="240" w:lineRule="auto"/>
      </w:pPr>
      <w:r>
        <w:separator/>
      </w:r>
    </w:p>
  </w:endnote>
  <w:endnote w:type="continuationSeparator" w:id="0">
    <w:p w14:paraId="7A9D075E" w14:textId="77777777" w:rsidR="0014279A" w:rsidRDefault="0014279A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CC58" w14:textId="77777777" w:rsidR="0014279A" w:rsidRDefault="0014279A" w:rsidP="00946F20">
      <w:pPr>
        <w:spacing w:after="0" w:line="240" w:lineRule="auto"/>
      </w:pPr>
      <w:r>
        <w:separator/>
      </w:r>
    </w:p>
  </w:footnote>
  <w:footnote w:type="continuationSeparator" w:id="0">
    <w:p w14:paraId="0285E696" w14:textId="77777777" w:rsidR="0014279A" w:rsidRDefault="0014279A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306AA"/>
    <w:rsid w:val="00030BBA"/>
    <w:rsid w:val="00032E3C"/>
    <w:rsid w:val="00037485"/>
    <w:rsid w:val="0004183B"/>
    <w:rsid w:val="000427F5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72C1"/>
    <w:rsid w:val="00274222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A07F7"/>
    <w:rsid w:val="003A4001"/>
    <w:rsid w:val="003A797E"/>
    <w:rsid w:val="003A7E0C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2BBC"/>
    <w:rsid w:val="0058399E"/>
    <w:rsid w:val="00585FEA"/>
    <w:rsid w:val="00586249"/>
    <w:rsid w:val="00586398"/>
    <w:rsid w:val="00586DAC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0BF6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F17"/>
    <w:rsid w:val="007678AE"/>
    <w:rsid w:val="00770004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7D73"/>
    <w:rsid w:val="007B1774"/>
    <w:rsid w:val="007B2B80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6F0"/>
    <w:rsid w:val="0084598F"/>
    <w:rsid w:val="00851197"/>
    <w:rsid w:val="00851AFB"/>
    <w:rsid w:val="00851F5A"/>
    <w:rsid w:val="0085225B"/>
    <w:rsid w:val="00852B7E"/>
    <w:rsid w:val="0085311A"/>
    <w:rsid w:val="008531DC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11B8E"/>
    <w:rsid w:val="00912BBD"/>
    <w:rsid w:val="00912BF0"/>
    <w:rsid w:val="00913041"/>
    <w:rsid w:val="00914244"/>
    <w:rsid w:val="009160C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4920"/>
    <w:rsid w:val="00AC645A"/>
    <w:rsid w:val="00AD0557"/>
    <w:rsid w:val="00AD0EAD"/>
    <w:rsid w:val="00AD1ACA"/>
    <w:rsid w:val="00AD25B1"/>
    <w:rsid w:val="00AD2C5E"/>
    <w:rsid w:val="00AD332A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D67"/>
    <w:rsid w:val="00C326B7"/>
    <w:rsid w:val="00C33E20"/>
    <w:rsid w:val="00C3791D"/>
    <w:rsid w:val="00C403A6"/>
    <w:rsid w:val="00C423C4"/>
    <w:rsid w:val="00C435D6"/>
    <w:rsid w:val="00C4425F"/>
    <w:rsid w:val="00C44793"/>
    <w:rsid w:val="00C44826"/>
    <w:rsid w:val="00C47128"/>
    <w:rsid w:val="00C472F5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3038B"/>
    <w:rsid w:val="00D31040"/>
    <w:rsid w:val="00D3142F"/>
    <w:rsid w:val="00D3148B"/>
    <w:rsid w:val="00D33DFE"/>
    <w:rsid w:val="00D35F98"/>
    <w:rsid w:val="00D361CC"/>
    <w:rsid w:val="00D42BA1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4C46"/>
    <w:rsid w:val="00E25EF0"/>
    <w:rsid w:val="00E32BEB"/>
    <w:rsid w:val="00E34DB6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4359"/>
    <w:rsid w:val="00E77E3B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E3D"/>
    <w:rsid w:val="00FB19CB"/>
    <w:rsid w:val="00FB20DB"/>
    <w:rsid w:val="00FB4F54"/>
    <w:rsid w:val="00FB61C3"/>
    <w:rsid w:val="00FC22E5"/>
    <w:rsid w:val="00FC5667"/>
    <w:rsid w:val="00FC6F9C"/>
    <w:rsid w:val="00FD0EF4"/>
    <w:rsid w:val="00FD36A2"/>
    <w:rsid w:val="00FD4D27"/>
    <w:rsid w:val="00FD70B5"/>
    <w:rsid w:val="00FE0983"/>
    <w:rsid w:val="00FE2B6F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11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1475</cp:revision>
  <cp:lastPrinted>2024-03-10T00:51:00Z</cp:lastPrinted>
  <dcterms:created xsi:type="dcterms:W3CDTF">2023-11-23T22:59:00Z</dcterms:created>
  <dcterms:modified xsi:type="dcterms:W3CDTF">2024-03-10T00:51:00Z</dcterms:modified>
</cp:coreProperties>
</file>