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GoreeCloud Search</w:t>
        <w:br/>
        <w:t>PR #18 Rendered Machine Evidence</w:t>
      </w:r>
    </w:p>
    <w:p>
      <w:pPr>
        <w:jc w:val="center"/>
      </w:pPr>
      <w:r>
        <w:rPr>
          <w:b/>
          <w:sz w:val="20"/>
        </w:rPr>
        <w:t>Evidence type: rendered machine / browser presentation</w:t>
        <w:br/>
        <w:t>Lifecycle: Development • Glaze UI target: 1.5.1 • Acceptance: partial / non-conforming until remaining gates pass</w:t>
      </w:r>
    </w:p>
    <w:p>
      <w:pPr>
        <w:pStyle w:val="Heading1"/>
      </w:pPr>
      <w:r>
        <w:t>1. Evidence Status and Scope</w:t>
      </w:r>
    </w:p>
    <w:p>
      <w:r>
        <w:rPr>
          <w:b/>
        </w:rPr>
        <w:t xml:space="preserve">Disposition: </w:t>
      </w:r>
      <w:r>
        <w:t>Rendered machine evidence collected successfully for the exact GoreeCloud Search PR #18 source revision. This evidence validates representative presentation behavior only. It does not establish Glaze UI consumer acceptance, assistive-technology acceptance, owner/human approval, supported-laptop-browser acceptance, live-provider behavior, Caddy/private-DNS behavior, VPS target-runtime acceptance, deployment, production acceptance, or Stable qualification.</w:t>
      </w:r>
    </w:p>
    <w:p>
      <w:pPr>
        <w:pStyle w:val="Heading1"/>
      </w:pPr>
      <w:r>
        <w:t>2. Exact Source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Field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Verified value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Repository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GoreeCloud/goreecloud-search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Pull request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#18 — private VPS Search web UI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Exact source revision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7930107d7a572478d852641e74d48e09d0129995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Search version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0.1.0.dev12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Glaze UI target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1.5.1 (current Stable target; adoption not accepted)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web_ui.py Git blob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271f26013e21c8170ab8ead3c78b6c49695c3db9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search.css Git blob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a48523f198beea2dd4e22183945b9ee6ce8c4359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/>
            </w:pPr>
            <w:r>
              <w:t>version.py Git blob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t>86b304a424ab370e529ecd89099540d04f44aad9</w:t>
            </w:r>
          </w:p>
        </w:tc>
      </w:tr>
    </w:tbl>
    <w:p>
      <w:r>
        <w:t>Materialization check: the locally rendered web_ui.py, search.css, and version.py were verified with Git blob hashing and matched the GitHub blob SHAs above before rendering.</w:t>
      </w:r>
    </w:p>
    <w:p>
      <w:pPr>
        <w:pStyle w:val="Heading1"/>
      </w:pPr>
      <w:r>
        <w:t>3. Render Harness Boundary</w:t>
      </w:r>
    </w:p>
    <w:p>
      <w:r>
        <w:t>Chromium was used as the rendering engine. Direct localhost navigation is blocked by this sandbox, so the harness loaded the exact server-rendered HTML bytes generated by PR #18's render_search_page() and then injected the exact PR #18 CSS file as a browser stylesheet. The representative result data is a synthetic fixture created only to exercise presentation states; it is not live provider or VPS evidence.</w:t>
      </w:r>
    </w:p>
    <w:p>
      <w:r>
        <w:t>Representative states rendered: desktop light results, desktop keyboard focus, mobile dark with Reduced Motion, Reduced Transparency + Increased Contrast, and explicit error/unavailable state.</w:t>
      </w:r>
    </w:p>
    <w:p>
      <w:pPr>
        <w:pStyle w:val="Heading1"/>
      </w:pPr>
      <w:r>
        <w:t>4. Machine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</w:tcPr>
          <w:p>
            <w:r>
              <w:t>State</w:t>
            </w:r>
          </w:p>
        </w:tc>
        <w:tc>
          <w:tcPr>
            <w:tcW w:type="dxa" w:w="2016"/>
            <w:vAlign w:val="top"/>
          </w:tcPr>
          <w:p>
            <w:r>
              <w:t>No horizontal overflow</w:t>
            </w:r>
          </w:p>
        </w:tc>
        <w:tc>
          <w:tcPr>
            <w:tcW w:type="dxa" w:w="2016"/>
            <w:vAlign w:val="top"/>
          </w:tcPr>
          <w:p>
            <w:r>
              <w:t>Form</w:t>
            </w:r>
          </w:p>
        </w:tc>
        <w:tc>
          <w:tcPr>
            <w:tcW w:type="dxa" w:w="2016"/>
            <w:vAlign w:val="top"/>
          </w:tcPr>
          <w:p>
            <w:r>
              <w:t>Scripts</w:t>
            </w:r>
          </w:p>
        </w:tc>
        <w:tc>
          <w:tcPr>
            <w:tcW w:type="dxa" w:w="2016"/>
            <w:vAlign w:val="top"/>
          </w:tcPr>
          <w:p>
            <w:r>
              <w:t>Remote resources</w:t>
            </w:r>
          </w:p>
        </w:tc>
      </w:tr>
      <w:tr>
        <w:tc>
          <w:tcPr>
            <w:tcW w:type="dxa" w:w="2016"/>
            <w:vAlign w:val="top"/>
          </w:tcPr>
          <w:p>
            <w:r>
              <w:t>Desktop light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post /search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</w:tr>
      <w:tr>
        <w:tc>
          <w:tcPr>
            <w:tcW w:type="dxa" w:w="2016"/>
            <w:vAlign w:val="top"/>
          </w:tcPr>
          <w:p>
            <w:r>
              <w:t>Mobile dark + Reduced Motion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post /search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</w:tr>
      <w:tr>
        <w:tc>
          <w:tcPr>
            <w:tcW w:type="dxa" w:w="2016"/>
            <w:vAlign w:val="top"/>
          </w:tcPr>
          <w:p>
            <w:r>
              <w:t>Reduced Transparency + Increased Contrast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post /search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</w:tr>
      <w:tr>
        <w:tc>
          <w:tcPr>
            <w:tcW w:type="dxa" w:w="2016"/>
            <w:vAlign w:val="top"/>
          </w:tcPr>
          <w:p>
            <w:r>
              <w:t>Error state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post /search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</w:tr>
    </w:tbl>
    <w:p>
      <w:r>
        <w:t>Accessibility-tree evidence exposed a main landmark, a search landmark, the Search heading, Search button, result headings, and result links. Keyboard focus evidence: first Tab reached the skip link with a 3 px visible outline; second Tab reached the query input with a 3 px visible outline.</w:t>
      </w:r>
    </w:p>
    <w:p>
      <w:r>
        <w:t>Constrained-material computed state: backdrop-filter = none; box-shadow = none; border-top-width = 2px; background = rgb(255, 255, 255).</w:t>
      </w:r>
    </w:p>
    <w:p>
      <w:r>
        <w:t>Error-state evidence exposed a role=alert with the visible text: “Search unavailable —  — The Search service could not complete this request.”</w:t>
      </w:r>
    </w:p>
    <w:p>
      <w:pPr>
        <w:pStyle w:val="Heading1"/>
      </w:pPr>
      <w:r>
        <w:t>5. Screenshot Artifact Hashes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Screenshot</w:t>
            </w:r>
          </w:p>
        </w:tc>
        <w:tc>
          <w:tcPr>
            <w:tcW w:type="dxa" w:w="3360"/>
          </w:tcPr>
          <w:p>
            <w:r>
              <w:t>SHA-256</w:t>
            </w:r>
          </w:p>
        </w:tc>
        <w:tc>
          <w:tcPr>
            <w:tcW w:type="dxa" w:w="3360"/>
          </w:tcPr>
          <w:p>
            <w:r>
              <w:t>Bytes</w:t>
            </w:r>
          </w:p>
        </w:tc>
      </w:tr>
      <w:tr>
        <w:tc>
          <w:tcPr>
            <w:tcW w:type="dxa" w:w="3360"/>
          </w:tcPr>
          <w:p>
            <w:r>
              <w:t>desktop-keyboard-focus.png</w:t>
            </w:r>
          </w:p>
        </w:tc>
        <w:tc>
          <w:tcPr>
            <w:tcW w:type="dxa" w:w="3360"/>
          </w:tcPr>
          <w:p>
            <w:r>
              <w:t>6064234a304168e329174cd713b2df72a15c8ab0560ea45ef6fde89495048eb7</w:t>
            </w:r>
          </w:p>
        </w:tc>
        <w:tc>
          <w:tcPr>
            <w:tcW w:type="dxa" w:w="3360"/>
          </w:tcPr>
          <w:p>
            <w:r>
              <w:t>357175</w:t>
            </w:r>
          </w:p>
        </w:tc>
      </w:tr>
      <w:tr>
        <w:tc>
          <w:tcPr>
            <w:tcW w:type="dxa" w:w="3360"/>
          </w:tcPr>
          <w:p>
            <w:r>
              <w:t>desktop-light-results.png</w:t>
            </w:r>
          </w:p>
        </w:tc>
        <w:tc>
          <w:tcPr>
            <w:tcW w:type="dxa" w:w="3360"/>
          </w:tcPr>
          <w:p>
            <w:r>
              <w:t>e88cda8b0d7e3c31cd5ce777ba62b8247f2a276e1f03a84681b73da96241aa73</w:t>
            </w:r>
          </w:p>
        </w:tc>
        <w:tc>
          <w:tcPr>
            <w:tcW w:type="dxa" w:w="3360"/>
          </w:tcPr>
          <w:p>
            <w:r>
              <w:t>357393</w:t>
            </w:r>
          </w:p>
        </w:tc>
      </w:tr>
      <w:tr>
        <w:tc>
          <w:tcPr>
            <w:tcW w:type="dxa" w:w="3360"/>
          </w:tcPr>
          <w:p>
            <w:r>
              <w:t>error-state.png</w:t>
            </w:r>
          </w:p>
        </w:tc>
        <w:tc>
          <w:tcPr>
            <w:tcW w:type="dxa" w:w="3360"/>
          </w:tcPr>
          <w:p>
            <w:r>
              <w:t>cb25de9a6645e49810d8f5ef9df632a619f6f0272a0bce32297671e7b0f52b01</w:t>
            </w:r>
          </w:p>
        </w:tc>
        <w:tc>
          <w:tcPr>
            <w:tcW w:type="dxa" w:w="3360"/>
          </w:tcPr>
          <w:p>
            <w:r>
              <w:t>206248</w:t>
            </w:r>
          </w:p>
        </w:tc>
      </w:tr>
      <w:tr>
        <w:tc>
          <w:tcPr>
            <w:tcW w:type="dxa" w:w="3360"/>
          </w:tcPr>
          <w:p>
            <w:r>
              <w:t>mobile-dark-results.png</w:t>
            </w:r>
          </w:p>
        </w:tc>
        <w:tc>
          <w:tcPr>
            <w:tcW w:type="dxa" w:w="3360"/>
          </w:tcPr>
          <w:p>
            <w:r>
              <w:t>5f8c7ef7c46588a79d17ec5176abf90e69561f3593dfdf2bd4641e8ee996b219</w:t>
            </w:r>
          </w:p>
        </w:tc>
        <w:tc>
          <w:tcPr>
            <w:tcW w:type="dxa" w:w="3360"/>
          </w:tcPr>
          <w:p>
            <w:r>
              <w:t>176898</w:t>
            </w:r>
          </w:p>
        </w:tc>
      </w:tr>
      <w:tr>
        <w:tc>
          <w:tcPr>
            <w:tcW w:type="dxa" w:w="3360"/>
          </w:tcPr>
          <w:p>
            <w:r>
              <w:t>reduced-transparency-high-contrast.png</w:t>
            </w:r>
          </w:p>
        </w:tc>
        <w:tc>
          <w:tcPr>
            <w:tcW w:type="dxa" w:w="3360"/>
          </w:tcPr>
          <w:p>
            <w:r>
              <w:t>a1bc816b28bb45711b0275531b6ed1d44796e19879b766f1fbf6de7d9965979e</w:t>
            </w:r>
          </w:p>
        </w:tc>
        <w:tc>
          <w:tcPr>
            <w:tcW w:type="dxa" w:w="3360"/>
          </w:tcPr>
          <w:p>
            <w:r>
              <w:t>228722</w:t>
            </w:r>
          </w:p>
        </w:tc>
      </w:tr>
    </w:tbl>
    <w:p>
      <w:pPr>
        <w:pStyle w:val="Heading1"/>
        <w:pageBreakBefore/>
      </w:pPr>
      <w:r>
        <w:t>6. Rendered States</w:t>
      </w:r>
    </w:p>
    <w:p>
      <w:pPr>
        <w:keepNext/>
      </w:pPr>
      <w:r>
        <w:rPr>
          <w:b/>
          <w:sz w:val="24"/>
        </w:rPr>
        <w:t>Figure 1. Desktop light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75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ight-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7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Representative desktop results state. Source disclosure, availability, result provenance, multi-source discovery count, and ranking explanation controls are visible.</w:t>
      </w:r>
    </w:p>
    <w:p>
      <w:r>
        <w:br w:type="page"/>
      </w:r>
    </w:p>
    <w:p>
      <w:pPr>
        <w:keepNext/>
      </w:pPr>
      <w:r>
        <w:rPr>
          <w:b/>
          <w:sz w:val="24"/>
        </w:rPr>
        <w:t>Figure 2. Desktop keyboard focus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5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keyboard-foc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Keyboard focus after Tab navigation reaches the query input with a visible focus outline; the prior Tab target is the skip link.</w:t>
      </w:r>
    </w:p>
    <w:p>
      <w:r>
        <w:br w:type="page"/>
      </w:r>
    </w:p>
    <w:p>
      <w:pPr>
        <w:keepNext/>
      </w:pPr>
      <w:r>
        <w:rPr>
          <w:b/>
          <w:sz w:val="24"/>
        </w:rPr>
        <w:t>Figure 3. Mobile dark + Reduced Motion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112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dark-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112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390 px mobile viewport using dark color scheme and Reduced Motion. Layout remains single-column with no horizontal overflow.</w:t>
      </w:r>
    </w:p>
    <w:p>
      <w:r>
        <w:br w:type="page"/>
      </w:r>
    </w:p>
    <w:p>
      <w:pPr>
        <w:keepNext/>
      </w:pPr>
      <w:r>
        <w:rPr>
          <w:b/>
          <w:sz w:val="24"/>
        </w:rPr>
        <w:t>Figure 4. Reduced Transparency + Increased Contrast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353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uced-transparency-high-contra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35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Chromium media emulation confirms opaque surfaces, no backdrop blur/shadow, and stronger 2 px borders.</w:t>
      </w:r>
    </w:p>
    <w:p>
      <w:r>
        <w:br w:type="page"/>
      </w:r>
    </w:p>
    <w:p>
      <w:pPr>
        <w:keepNext/>
      </w:pPr>
      <w:r>
        <w:rPr>
          <w:b/>
          <w:sz w:val="24"/>
        </w:rPr>
        <w:t>Figure 5. Unavailable / error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-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Explicit unavailable state rendered as an alert rather than silently redirecting or substituting another provider.</w:t>
      </w:r>
    </w:p>
    <w:p>
      <w:r>
        <w:br w:type="page"/>
      </w:r>
    </w:p>
    <w:p>
      <w:pPr>
        <w:pStyle w:val="Heading1"/>
      </w:pPr>
      <w:r>
        <w:t>7. Remaining Acceptance Gates</w:t>
      </w:r>
    </w:p>
    <w:p>
      <w:pPr>
        <w:pStyle w:val="ListBullet"/>
      </w:pPr>
      <w:r>
        <w:t>Owner/human visual review of the exact revision.</w:t>
      </w:r>
    </w:p>
    <w:p>
      <w:pPr>
        <w:pStyle w:val="ListBullet"/>
      </w:pPr>
      <w:r>
        <w:t>Assistive-technology validation on a supported browser/platform.</w:t>
      </w:r>
    </w:p>
    <w:p>
      <w:pPr>
        <w:pStyle w:val="ListBullet"/>
      </w:pPr>
      <w:r>
        <w:t>Supported laptop/browser and real-device acceptance, including zoom/text scaling and browser-specific behavior.</w:t>
      </w:r>
    </w:p>
    <w:p>
      <w:pPr>
        <w:pStyle w:val="ListBullet"/>
      </w:pPr>
      <w:r>
        <w:t>Live Caddy/private-DNS response behavior for the new UI surface.</w:t>
      </w:r>
    </w:p>
    <w:p>
      <w:pPr>
        <w:pStyle w:val="ListBullet"/>
      </w:pPr>
      <w:r>
        <w:t>Live external-provider target-runtime behavior with the approved credential path.</w:t>
      </w:r>
    </w:p>
    <w:p>
      <w:pPr>
        <w:pStyle w:val="ListBullet"/>
      </w:pPr>
      <w:r>
        <w:t>Exact deployed artifact/digest verification on goreecloud-vps-01.</w:t>
      </w:r>
    </w:p>
    <w:p>
      <w:pPr>
        <w:pStyle w:val="ListBullet"/>
      </w:pPr>
      <w:r>
        <w:t>GoreeCloud Browser address-bar/new-tab integration acceptance.</w:t>
      </w:r>
    </w:p>
    <w:p>
      <w:pPr>
        <w:pStyle w:val="ListBullet"/>
      </w:pPr>
      <w:r>
        <w:t>Shared Glaze consumer evidence tuple and production eligibility only after all required consumer gates pass.</w:t>
      </w:r>
    </w:p>
    <w:p>
      <w:pPr>
        <w:pStyle w:val="Heading1"/>
      </w:pPr>
      <w:r>
        <w:t>8. Evidence Rule</w:t>
      </w:r>
    </w:p>
    <w:p>
      <w:r>
        <w:t>This record must not be used to claim production deployment, Stable qualification, broad Glaze UI conformance, or SearXNG replacement completion. It is one bounded evidence layer for PR #18 at the exact source revision identified above.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6"/>
        <w:sz w:val="16"/>
      </w:rPr>
      <w:t>PR #18 • exact source 7930107d7a572478d852641e74d48e09d0129995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476"/>
        <w:sz w:val="16"/>
      </w:rPr>
      <w:t>GoreeCloud Search • Rendered machine evidence •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GoreeCloud Search — PR 18 Rendered Machine Evidence</dc:title>
  <dc:subject>Exact-source rendered machine evidence for GoreeCloud Search PR #18</dc:subject>
  <dc:creator>python-docx</dc:creator>
  <cp:keywords>GoreeCloud Search, PR 18, rendered evidence, Glaze UI 1.5.1, Development</cp:keywords>
  <dc:description>Generated from exact PR #18 source-bound presentation files; synthetic result fixture; no live VPS/provider acceptance.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