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Extracción SIC — Manual de usuario</w:t>
      </w:r>
    </w:p>
    <w:p>
      <w:pPr/>
      <w:r>
        <w:t>Versión 0.1.0 · 8 de agosto de 2026</w:t>
      </w:r>
    </w:p>
    <w:p>
      <w:pPr>
        <w:pStyle w:val="ListParagraph"/>
        <w:spacing w:before="20" w:after="20"/>
        <w:ind w:left="360" w:hanging="360"/>
      </w:pPr>
      <w:r>
        <w:t xml:space="preserve">1.  </w:t>
      </w:r>
      <w:r>
        <w:t>Qué hace el programa</w:t>
      </w:r>
    </w:p>
    <w:p>
      <w:pPr>
        <w:pStyle w:val="ListParagraph"/>
        <w:spacing w:before="20" w:after="20"/>
        <w:ind w:left="360" w:hanging="360"/>
      </w:pPr>
      <w:r>
        <w:t xml:space="preserve">2.  </w:t>
      </w:r>
      <w:r>
        <w:t>Instalación</w:t>
      </w:r>
    </w:p>
    <w:p>
      <w:pPr>
        <w:pStyle w:val="ListParagraph"/>
        <w:spacing w:before="20" w:after="20"/>
        <w:ind w:left="360" w:hanging="360"/>
      </w:pPr>
      <w:r>
        <w:t xml:space="preserve">3.  </w:t>
      </w:r>
      <w:r>
        <w:t>La carpeta del programa y la ventana</w:t>
      </w:r>
    </w:p>
    <w:p>
      <w:pPr>
        <w:pStyle w:val="ListParagraph"/>
        <w:spacing w:before="20" w:after="20"/>
        <w:ind w:left="360" w:hanging="360"/>
      </w:pPr>
      <w:r>
        <w:t xml:space="preserve">4.  </w:t>
      </w:r>
      <w:r>
        <w:t>Ejecutar una extracción</w:t>
      </w:r>
    </w:p>
    <w:p>
      <w:pPr>
        <w:pStyle w:val="ListParagraph"/>
        <w:spacing w:before="20" w:after="20"/>
        <w:ind w:left="360" w:hanging="360"/>
      </w:pPr>
      <w:r>
        <w:t xml:space="preserve">5.  </w:t>
      </w:r>
      <w:r>
        <w:t>El Excel de salida</w:t>
      </w:r>
    </w:p>
    <w:p>
      <w:pPr>
        <w:pStyle w:val="ListParagraph"/>
        <w:spacing w:before="20" w:after="20"/>
        <w:ind w:left="360" w:hanging="360"/>
      </w:pPr>
      <w:r>
        <w:t xml:space="preserve">6.  </w:t>
      </w:r>
      <w:r>
        <w:t>Qué hay que revisar a mano</w:t>
      </w:r>
    </w:p>
    <w:p>
      <w:pPr>
        <w:pStyle w:val="ListParagraph"/>
        <w:spacing w:before="20" w:after="20"/>
        <w:ind w:left="360" w:hanging="360"/>
      </w:pPr>
      <w:r>
        <w:t xml:space="preserve">7.  </w:t>
      </w:r>
      <w:r>
        <w:t>Problemas frecuentes</w:t>
      </w:r>
    </w:p>
    <w:p>
      <w:pPr>
        <w:pStyle w:val="Heading2"/>
      </w:pPr>
      <w:r>
        <w:t>1. Qué hace el programa</w:t>
      </w:r>
    </w:p>
    <w:p>
      <w:pPr/>
      <w:r>
        <w:t>El programa automatiza un trabajo que antes se hacía expediente por expediente a mano.</w:t>
      </w:r>
    </w:p>
    <w:p>
      <w:pPr/>
      <w:r>
        <w:t xml:space="preserve">Se le entrega el Excel exportado desde SIPI (el sistema de propiedad industrial de la Superintendencia de Industria y Comercio). Por cada expediente del reporte, el programa entra a su ficha en </w:t>
      </w:r>
      <w:r>
        <w:rPr>
          <w:rFonts w:ascii="Consolas" w:hAnsi="Consolas"/>
          <w:sz w:val="18"/>
        </w:rPr>
        <w:t>sipi.sic.gov.co</w:t>
      </w:r>
      <w:r>
        <w:t>, descarga las resoluciones en PDF, las lee y saca de ellas:</w:t>
      </w:r>
    </w:p>
    <w:p>
      <w:pPr>
        <w:pStyle w:val="ListParagraph"/>
        <w:spacing w:before="20" w:after="20"/>
        <w:ind w:left="360" w:hanging="259"/>
      </w:pPr>
      <w:r>
        <w:t xml:space="preserve">•  </w:t>
      </w:r>
      <w:r>
        <w:t xml:space="preserve">la </w:t>
      </w:r>
      <w:r>
        <w:rPr>
          <w:b/>
        </w:rPr>
        <w:t>naturaleza</w:t>
      </w:r>
      <w:r>
        <w:t xml:space="preserve"> de la marca (nominativa, mixta, figurativa, tridimensional),</w:t>
      </w:r>
    </w:p>
    <w:p>
      <w:pPr>
        <w:pStyle w:val="ListParagraph"/>
        <w:spacing w:before="20" w:after="20"/>
        <w:ind w:left="360" w:hanging="259"/>
      </w:pPr>
      <w:r>
        <w:t xml:space="preserve">•  </w:t>
      </w:r>
      <w:r>
        <w:t xml:space="preserve">si </w:t>
      </w:r>
      <w:r>
        <w:rPr>
          <w:b/>
        </w:rPr>
        <w:t>hubo oposición</w:t>
      </w:r>
      <w:r>
        <w:t xml:space="preserve"> y </w:t>
      </w:r>
      <w:r>
        <w:rPr>
          <w:b/>
        </w:rPr>
        <w:t>quién</w:t>
      </w:r>
      <w:r>
        <w:t xml:space="preserve"> la presentó,</w:t>
      </w:r>
    </w:p>
    <w:p>
      <w:pPr>
        <w:pStyle w:val="ListParagraph"/>
        <w:spacing w:before="20" w:after="20"/>
        <w:ind w:left="360" w:hanging="259"/>
      </w:pPr>
      <w:r>
        <w:t xml:space="preserve">•  </w:t>
      </w:r>
      <w:r>
        <w:t xml:space="preserve">los </w:t>
      </w:r>
      <w:r>
        <w:rPr>
          <w:b/>
        </w:rPr>
        <w:t>artículos</w:t>
      </w:r>
      <w:r>
        <w:t xml:space="preserve"> que invocó cada opositor y si su oposición se declaró </w:t>
      </w:r>
      <w:r>
        <w:rPr>
          <w:b/>
        </w:rPr>
        <w:t>fundada</w:t>
      </w:r>
      <w:r>
        <w:t>,</w:t>
      </w:r>
    </w:p>
    <w:p>
      <w:pPr>
        <w:pStyle w:val="ListParagraph"/>
        <w:spacing w:before="20" w:after="20"/>
        <w:ind w:left="360" w:hanging="259"/>
      </w:pPr>
      <w:r>
        <w:t xml:space="preserve">•  </w:t>
      </w:r>
      <w:r>
        <w:t xml:space="preserve">las </w:t>
      </w:r>
      <w:r>
        <w:rPr>
          <w:b/>
        </w:rPr>
        <w:t>causales por las que se negó el registro</w:t>
      </w:r>
      <w:r>
        <w:t>,</w:t>
      </w:r>
    </w:p>
    <w:p>
      <w:pPr>
        <w:pStyle w:val="ListParagraph"/>
        <w:spacing w:before="20" w:after="20"/>
        <w:ind w:left="360" w:hanging="259"/>
      </w:pPr>
      <w:r>
        <w:t xml:space="preserve">•  </w:t>
      </w:r>
      <w:r>
        <w:t xml:space="preserve">si hubo </w:t>
      </w:r>
      <w:r>
        <w:rPr>
          <w:b/>
        </w:rPr>
        <w:t>apelación</w:t>
      </w:r>
      <w:r>
        <w:t xml:space="preserve"> a la negación.</w:t>
      </w:r>
    </w:p>
    <w:p>
      <w:pPr/>
      <w:r>
        <w:t xml:space="preserve">El resultado es un Excel nuevo, listo para revisar. Cuando un expediente se niega por varias causales, sale </w:t>
      </w:r>
      <w:r>
        <w:rPr>
          <w:b/>
        </w:rPr>
        <w:t>una fila por cada causal</w:t>
      </w:r>
      <w:r>
        <w:t>, repitiendo el resto de la información. Los PDFs quedan guardados en el disco por si hay que consultarlos.</w:t>
      </w:r>
    </w:p>
    <w:p>
      <w:pPr/>
      <w:r>
        <w:t xml:space="preserve">Un reporte completo se procesa en menos de una hora. En promedio, alrededor de una fila de cada cinco queda marcada para revisar a mano: el programa </w:t>
      </w:r>
      <w:r>
        <w:rPr>
          <w:b/>
        </w:rPr>
        <w:t>nunca inventa un dato</w:t>
      </w:r>
      <w:r>
        <w:t>, y cuando no está seguro deja la celda vacía y explica el porqué.</w:t>
      </w:r>
    </w:p>
    <w:p>
      <w:pPr>
        <w:pStyle w:val="Heading2"/>
      </w:pPr>
      <w:r>
        <w:t>2. Instalación</w:t>
      </w:r>
    </w:p>
    <w:p>
      <w:pPr/>
      <w:r>
        <w:t>No hay instalador y no hace falta permiso de administrador.</w:t>
      </w:r>
    </w:p>
    <w:p>
      <w:pPr>
        <w:pStyle w:val="ListParagraph"/>
        <w:spacing w:before="20" w:after="20"/>
        <w:ind w:left="360" w:hanging="360"/>
      </w:pPr>
      <w:r>
        <w:t xml:space="preserve">1.  </w:t>
      </w:r>
      <w:r>
        <w:t xml:space="preserve">Clic derecho sobre </w:t>
      </w:r>
      <w:r>
        <w:rPr>
          <w:rFonts w:ascii="Consolas" w:hAnsi="Consolas"/>
          <w:sz w:val="18"/>
        </w:rPr>
        <w:t>ExtraccionSIC.zip</w:t>
      </w:r>
      <w:r>
        <w:t xml:space="preserve"> → </w:t>
      </w:r>
      <w:r>
        <w:rPr>
          <w:b/>
        </w:rPr>
        <w:t>Extraer todo</w:t>
      </w:r>
      <w:r>
        <w:t>. El Escritorio o</w:t>
      </w:r>
    </w:p>
    <w:p>
      <w:pPr/>
      <w:r>
        <w:rPr>
          <w:rFonts w:ascii="Consolas" w:hAnsi="Consolas"/>
          <w:sz w:val="18"/>
        </w:rPr>
        <w:t>C:\Users\&lt;usuario&gt;\Documentos</w:t>
      </w:r>
      <w:r>
        <w:t xml:space="preserve"> sirven.</w:t>
      </w:r>
    </w:p>
    <w:p>
      <w:pPr>
        <w:pStyle w:val="ListParagraph"/>
        <w:spacing w:before="20" w:after="20"/>
        <w:ind w:left="360" w:hanging="360"/>
      </w:pPr>
      <w:r>
        <w:t xml:space="preserve">2.  </w:t>
      </w:r>
      <w:r>
        <w:t xml:space="preserve">Entrar en la carpeta </w:t>
      </w:r>
      <w:r>
        <w:rPr>
          <w:rFonts w:ascii="Consolas" w:hAnsi="Consolas"/>
          <w:sz w:val="18"/>
        </w:rPr>
        <w:t>ExtraccionSIC</w:t>
      </w:r>
      <w:r>
        <w:t xml:space="preserve"> y doble clic en </w:t>
      </w:r>
      <w:r>
        <w:rPr>
          <w:b/>
        </w:rPr>
        <w:t>`ExtraccionSIC.exe`</w:t>
      </w:r>
      <w:r>
        <w:t>.</w:t>
      </w:r>
    </w:p>
    <w:p>
      <w:pPr>
        <w:ind w:left="576"/>
      </w:pPr>
      <w:r>
        <w:rPr>
          <w:b/>
          <w:i/>
          <w:sz w:val="18"/>
        </w:rPr>
        <w:t>Hay que descomprimir de verdad.</w:t>
      </w:r>
      <w:r>
        <w:rPr>
          <w:i/>
          <w:sz w:val="18"/>
        </w:rPr>
        <w:t xml:space="preserve"> Abrir el </w:t>
      </w:r>
      <w:r>
        <w:rPr>
          <w:rFonts w:ascii="Consolas" w:hAnsi="Consolas"/>
          <w:i/>
          <w:sz w:val="18"/>
        </w:rPr>
        <w:t>.exe</w:t>
      </w:r>
      <w:r>
        <w:rPr>
          <w:i/>
          <w:sz w:val="18"/>
        </w:rPr>
        <w:t xml:space="preserve"> desde dentro del </w:t>
      </w:r>
      <w:r>
        <w:rPr>
          <w:rFonts w:ascii="Consolas" w:hAnsi="Consolas"/>
          <w:i/>
          <w:sz w:val="18"/>
        </w:rPr>
        <w:t>.zip</w:t>
      </w:r>
      <w:r>
        <w:rPr>
          <w:i/>
          <w:sz w:val="18"/>
        </w:rPr>
        <w:t xml:space="preserve"> hace que Windows lo ejecute en una carpeta temporal y el programa no encuentra sus archivos.</w:t>
      </w:r>
    </w:p>
    <w:p>
      <w:pPr>
        <w:ind w:left="576"/>
      </w:pPr>
      <w:r>
        <w:rPr>
          <w:b/>
          <w:i/>
          <w:sz w:val="18"/>
        </w:rPr>
        <w:t>No funciona desde una carpeta de red.</w:t>
      </w:r>
      <w:r>
        <w:rPr>
          <w:i/>
          <w:sz w:val="18"/>
        </w:rPr>
        <w:t xml:space="preserve"> Si la ruta empieza por </w:t>
      </w:r>
      <w:r>
        <w:rPr>
          <w:rFonts w:ascii="Consolas" w:hAnsi="Consolas"/>
          <w:i/>
          <w:sz w:val="18"/>
        </w:rPr>
        <w:t>\\servidor\...</w:t>
      </w:r>
      <w:r>
        <w:rPr>
          <w:i/>
          <w:sz w:val="18"/>
        </w:rPr>
        <w:t xml:space="preserve">, el programa no arranca. Copiar la carpeta a </w:t>
      </w:r>
      <w:r>
        <w:rPr>
          <w:rFonts w:ascii="Consolas" w:hAnsi="Consolas"/>
          <w:i/>
          <w:sz w:val="18"/>
        </w:rPr>
        <w:t>C:</w:t>
      </w:r>
      <w:r>
        <w:rPr>
          <w:i/>
          <w:sz w:val="18"/>
        </w:rPr>
        <w:t xml:space="preserve"> o a una unidad con letra asignada (</w:t>
      </w:r>
      <w:r>
        <w:rPr>
          <w:rFonts w:ascii="Consolas" w:hAnsi="Consolas"/>
          <w:i/>
          <w:sz w:val="18"/>
        </w:rPr>
        <w:t>Z:</w:t>
      </w:r>
      <w:r>
        <w:rPr>
          <w:i/>
          <w:sz w:val="18"/>
        </w:rPr>
        <w:t>).</w:t>
      </w:r>
    </w:p>
    <w:p>
      <w:pPr/>
      <w:r>
        <w:t xml:space="preserve">La primera vez, Windows muestra la pantalla azul </w:t>
      </w:r>
      <w:r>
        <w:rPr>
          <w:i/>
        </w:rPr>
        <w:t>«Windows protegió su PC»</w:t>
      </w:r>
      <w:r>
        <w:t xml:space="preserve">. Es lo normal en un programa sin firma digital: pulsar </w:t>
      </w:r>
      <w:r>
        <w:rPr>
          <w:b/>
        </w:rPr>
        <w:t>Más información</w:t>
      </w:r>
      <w:r>
        <w:t xml:space="preserve"> → </w:t>
      </w:r>
      <w:r>
        <w:rPr>
          <w:b/>
        </w:rPr>
        <w:t>Ejecutar de todas formas</w:t>
      </w:r>
      <w:r>
        <w:t>. Solo hay que hacerlo una vez.</w:t>
      </w:r>
    </w:p>
    <w:p>
      <w:pPr/>
      <w:r>
        <w:t>Si el antivirus borra o bloquea el archivo, es un falso positivo habitual con este tipo de empaquetado: pedir al área de sistemas que añada la carpeta como excepción.</w:t>
      </w:r>
    </w:p>
    <w:p>
      <w:pPr>
        <w:pStyle w:val="Heading2"/>
      </w:pPr>
      <w:r>
        <w:t>3. La carpeta del programa y la ventana</w:t>
      </w:r>
    </w:p>
    <w:p>
      <w:pPr>
        <w:jc w:val="center"/>
      </w:pPr>
      <w:r>
        <w:drawing>
          <wp:inline xmlns:a="http://schemas.openxmlformats.org/drawingml/2006/main" xmlns:pic="http://schemas.openxmlformats.org/drawingml/2006/picture">
            <wp:extent cx="5029200" cy="3580949"/>
            <wp:docPr id="1" name="Picture 1"/>
            <wp:cNvGraphicFramePr>
              <a:graphicFrameLocks noChangeAspect="1"/>
            </wp:cNvGraphicFramePr>
            <a:graphic>
              <a:graphicData uri="http://schemas.openxmlformats.org/drawingml/2006/picture">
                <pic:pic>
                  <pic:nvPicPr>
                    <pic:cNvPr id="0" name="carpeta.png"/>
                    <pic:cNvPicPr/>
                  </pic:nvPicPr>
                  <pic:blipFill>
                    <a:blip r:embed="rId9"/>
                    <a:stretch>
                      <a:fillRect/>
                    </a:stretch>
                  </pic:blipFill>
                  <pic:spPr>
                    <a:xfrm>
                      <a:off x="0" y="0"/>
                      <a:ext cx="5029200" cy="3580949"/>
                    </a:xfrm>
                    <a:prstGeom prst="rect"/>
                  </pic:spPr>
                </pic:pic>
              </a:graphicData>
            </a:graphic>
          </wp:inline>
        </w:drawing>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Elemento</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Para qué sirve</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ExtraccionSIC.exe</w:t>
            </w:r>
          </w:p>
        </w:tc>
        <w:tc>
          <w:tcPr>
            <w:tcW w:type="dxa" w:w="4320"/>
            <w:tcBorders>
              <w:top w:val="single" w:sz="4" w:space="0" w:color="000000"/>
              <w:left w:val="single" w:sz="4" w:space="0" w:color="000000"/>
              <w:bottom w:val="single" w:sz="4" w:space="0" w:color="000000"/>
              <w:right w:val="single" w:sz="4" w:space="0" w:color="000000"/>
            </w:tcBorders>
          </w:tcPr>
          <w:p>
            <w:r>
              <w:rPr>
                <w:sz w:val="18"/>
              </w:rPr>
              <w:t>el programa; es lo único que hay que abrir</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_internal\</w:t>
            </w:r>
          </w:p>
        </w:tc>
        <w:tc>
          <w:tcPr>
            <w:tcW w:type="dxa" w:w="4320"/>
            <w:tcBorders>
              <w:top w:val="single" w:sz="4" w:space="0" w:color="000000"/>
              <w:left w:val="single" w:sz="4" w:space="0" w:color="000000"/>
              <w:bottom w:val="single" w:sz="4" w:space="0" w:color="000000"/>
              <w:right w:val="single" w:sz="4" w:space="0" w:color="000000"/>
            </w:tcBorders>
          </w:tcPr>
          <w:p>
            <w:r>
              <w:rPr>
                <w:sz w:val="18"/>
              </w:rPr>
              <w:t>archivos internos del ejecutable — no tocar</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alias.json</w:t>
            </w:r>
          </w:p>
        </w:tc>
        <w:tc>
          <w:tcPr>
            <w:tcW w:type="dxa" w:w="4320"/>
            <w:tcBorders>
              <w:top w:val="single" w:sz="4" w:space="0" w:color="000000"/>
              <w:left w:val="single" w:sz="4" w:space="0" w:color="000000"/>
              <w:bottom w:val="single" w:sz="4" w:space="0" w:color="000000"/>
              <w:right w:val="single" w:sz="4" w:space="0" w:color="000000"/>
            </w:tcBorders>
          </w:tcPr>
          <w:p>
            <w:r>
              <w:rPr>
                <w:sz w:val="18"/>
              </w:rPr>
              <w:t>diccionario de nombres cortos de opositores; se puede editar a mano</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salida\</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los Excel generados, el registro de cada corrida y los PDFs en </w:t>
            </w:r>
            <w:r>
              <w:rPr>
                <w:rFonts w:ascii="Consolas" w:hAnsi="Consolas"/>
                <w:sz w:val="18"/>
              </w:rPr>
              <w:t>soportes\</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temp\</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archivos de trabajo; </w:t>
            </w:r>
            <w:r>
              <w:rPr>
                <w:b/>
                <w:sz w:val="18"/>
              </w:rPr>
              <w:t>se puede borrar entera</w:t>
            </w:r>
            <w:r>
              <w:rPr>
                <w:sz w:val="18"/>
              </w:rPr>
              <w:t xml:space="preserve"> y la siguiente corrida la rehace</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autoprueba.txt</w:t>
            </w:r>
          </w:p>
        </w:tc>
        <w:tc>
          <w:tcPr>
            <w:tcW w:type="dxa" w:w="4320"/>
            <w:tcBorders>
              <w:top w:val="single" w:sz="4" w:space="0" w:color="000000"/>
              <w:left w:val="single" w:sz="4" w:space="0" w:color="000000"/>
              <w:bottom w:val="single" w:sz="4" w:space="0" w:color="000000"/>
              <w:right w:val="single" w:sz="4" w:space="0" w:color="000000"/>
            </w:tcBorders>
          </w:tcPr>
          <w:p>
            <w:r>
              <w:rPr>
                <w:sz w:val="18"/>
              </w:rPr>
              <w:t>resultado de la comprobación automática que se hace al construir el programa</w:t>
            </w:r>
          </w:p>
        </w:tc>
      </w:tr>
    </w:tbl>
    <w:p/>
    <w:p>
      <w:pPr/>
      <w:r>
        <w:t xml:space="preserve">Nunca se sobrescribe nada: cada corrida crea un Excel y un registro nuevos, y los PDFs que ya estaban se reutilizan. En </w:t>
      </w:r>
      <w:r>
        <w:rPr>
          <w:rFonts w:ascii="Consolas" w:hAnsi="Consolas"/>
          <w:sz w:val="18"/>
        </w:rPr>
        <w:t>salida\soportes\</w:t>
      </w:r>
      <w:r>
        <w:t xml:space="preserve"> hay un subdirectorio por expediente con sus PDFs. Un reporte completo ocupa varios cientos de MB.</w:t>
      </w:r>
    </w:p>
    <w:p>
      <w:pPr>
        <w:pStyle w:val="Heading3"/>
      </w:pPr>
      <w:r>
        <w:t>La ventana</w:t>
      </w:r>
    </w:p>
    <w:p>
      <w:pPr>
        <w:jc w:val="center"/>
      </w:pPr>
      <w:r>
        <w:drawing>
          <wp:inline xmlns:a="http://schemas.openxmlformats.org/drawingml/2006/main" xmlns:pic="http://schemas.openxmlformats.org/drawingml/2006/picture">
            <wp:extent cx="5029200" cy="3746810"/>
            <wp:docPr id="2" name="Picture 2"/>
            <wp:cNvGraphicFramePr>
              <a:graphicFrameLocks noChangeAspect="1"/>
            </wp:cNvGraphicFramePr>
            <a:graphic>
              <a:graphicData uri="http://schemas.openxmlformats.org/drawingml/2006/picture">
                <pic:pic>
                  <pic:nvPicPr>
                    <pic:cNvPr id="0" name="ventana.png"/>
                    <pic:cNvPicPr/>
                  </pic:nvPicPr>
                  <pic:blipFill>
                    <a:blip r:embed="rId10"/>
                    <a:stretch>
                      <a:fillRect/>
                    </a:stretch>
                  </pic:blipFill>
                  <pic:spPr>
                    <a:xfrm>
                      <a:off x="0" y="0"/>
                      <a:ext cx="5029200" cy="3746810"/>
                    </a:xfrm>
                    <a:prstGeom prst="rect"/>
                  </pic:spPr>
                </pic:pic>
              </a:graphicData>
            </a:graphic>
          </wp:inline>
        </w:drawing>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Control</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Para qué sirve</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Excel de entrada</w:t>
            </w:r>
          </w:p>
        </w:tc>
        <w:tc>
          <w:tcPr>
            <w:tcW w:type="dxa" w:w="4320"/>
            <w:tcBorders>
              <w:top w:val="single" w:sz="4" w:space="0" w:color="000000"/>
              <w:left w:val="single" w:sz="4" w:space="0" w:color="000000"/>
              <w:bottom w:val="single" w:sz="4" w:space="0" w:color="000000"/>
              <w:right w:val="single" w:sz="4" w:space="0" w:color="000000"/>
            </w:tcBorders>
          </w:tcPr>
          <w:p>
            <w:r>
              <w:rPr>
                <w:sz w:val="18"/>
              </w:rPr>
              <w:t>el reporte exportado de SIPI. Es lo único obligatorio</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Carpeta de salida</w:t>
            </w:r>
          </w:p>
        </w:tc>
        <w:tc>
          <w:tcPr>
            <w:tcW w:type="dxa" w:w="4320"/>
            <w:tcBorders>
              <w:top w:val="single" w:sz="4" w:space="0" w:color="000000"/>
              <w:left w:val="single" w:sz="4" w:space="0" w:color="000000"/>
              <w:bottom w:val="single" w:sz="4" w:space="0" w:color="000000"/>
              <w:right w:val="single" w:sz="4" w:space="0" w:color="000000"/>
            </w:tcBorders>
          </w:tcPr>
          <w:p>
            <w:r>
              <w:rPr>
                <w:sz w:val="18"/>
              </w:rPr>
              <w:t>dónde se escriben el Excel y los PDFs. Ya viene puesta</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Descargas en paralelo</w:t>
            </w:r>
          </w:p>
        </w:tc>
        <w:tc>
          <w:tcPr>
            <w:tcW w:type="dxa" w:w="4320"/>
            <w:tcBorders>
              <w:top w:val="single" w:sz="4" w:space="0" w:color="000000"/>
              <w:left w:val="single" w:sz="4" w:space="0" w:color="000000"/>
              <w:bottom w:val="single" w:sz="4" w:space="0" w:color="000000"/>
              <w:right w:val="single" w:sz="4" w:space="0" w:color="000000"/>
            </w:tcBorders>
          </w:tcPr>
          <w:p>
            <w:r>
              <w:rPr>
                <w:sz w:val="18"/>
              </w:rPr>
              <w:t>de 1 a 8. Subirlo no acelera mucho: el cuello de botella es SIPI. Bajarlo a 1 o 2 va más suave si la red va justa o salen muchos errores</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Reusar PDFs ya descargados</w:t>
            </w:r>
          </w:p>
        </w:tc>
        <w:tc>
          <w:tcPr>
            <w:tcW w:type="dxa" w:w="4320"/>
            <w:tcBorders>
              <w:top w:val="single" w:sz="4" w:space="0" w:color="000000"/>
              <w:left w:val="single" w:sz="4" w:space="0" w:color="000000"/>
              <w:bottom w:val="single" w:sz="4" w:space="0" w:color="000000"/>
              <w:right w:val="single" w:sz="4" w:space="0" w:color="000000"/>
            </w:tcBorders>
          </w:tcPr>
          <w:p>
            <w:r>
              <w:rPr>
                <w:sz w:val="18"/>
              </w:rPr>
              <w:t>marcado, una segunda corrida no vuelve a bajar nada. Sirve para reanudar tras un corte de red</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Iniciar</w:t>
            </w:r>
            <w:r>
              <w:rPr>
                <w:sz w:val="18"/>
              </w:rPr>
              <w:t xml:space="preserve"> / </w:t>
            </w:r>
            <w:r>
              <w:rPr>
                <w:b/>
                <w:sz w:val="18"/>
              </w:rPr>
              <w:t>Detener</w:t>
            </w:r>
          </w:p>
        </w:tc>
        <w:tc>
          <w:tcPr>
            <w:tcW w:type="dxa" w:w="4320"/>
            <w:tcBorders>
              <w:top w:val="single" w:sz="4" w:space="0" w:color="000000"/>
              <w:left w:val="single" w:sz="4" w:space="0" w:color="000000"/>
              <w:bottom w:val="single" w:sz="4" w:space="0" w:color="000000"/>
              <w:right w:val="single" w:sz="4" w:space="0" w:color="000000"/>
            </w:tcBorders>
          </w:tcPr>
          <w:p>
            <w:r>
              <w:rPr>
                <w:i/>
                <w:sz w:val="18"/>
              </w:rPr>
              <w:t>Detener</w:t>
            </w:r>
            <w:r>
              <w:rPr>
                <w:sz w:val="18"/>
              </w:rPr>
              <w:t xml:space="preserve"> termina los expedientes en curso y escribe el Excel con lo que llevaba: no se pierde el trabajo hecho</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Registro</w:t>
            </w:r>
          </w:p>
        </w:tc>
        <w:tc>
          <w:tcPr>
            <w:tcW w:type="dxa" w:w="4320"/>
            <w:tcBorders>
              <w:top w:val="single" w:sz="4" w:space="0" w:color="000000"/>
              <w:left w:val="single" w:sz="4" w:space="0" w:color="000000"/>
              <w:bottom w:val="single" w:sz="4" w:space="0" w:color="000000"/>
              <w:right w:val="single" w:sz="4" w:space="0" w:color="000000"/>
            </w:tcBorders>
          </w:tcPr>
          <w:p>
            <w:r>
              <w:rPr>
                <w:sz w:val="18"/>
              </w:rPr>
              <w:t>lo que va pasando, con los avisos y errores según ocurren</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Abrir carpeta de salida</w:t>
            </w:r>
          </w:p>
        </w:tc>
        <w:tc>
          <w:tcPr>
            <w:tcW w:type="dxa" w:w="4320"/>
            <w:tcBorders>
              <w:top w:val="single" w:sz="4" w:space="0" w:color="000000"/>
              <w:left w:val="single" w:sz="4" w:space="0" w:color="000000"/>
              <w:bottom w:val="single" w:sz="4" w:space="0" w:color="000000"/>
              <w:right w:val="single" w:sz="4" w:space="0" w:color="000000"/>
            </w:tcBorders>
          </w:tcPr>
          <w:p>
            <w:r>
              <w:rPr>
                <w:sz w:val="18"/>
              </w:rPr>
              <w:t>se habilita al terminar</w:t>
            </w:r>
          </w:p>
        </w:tc>
      </w:tr>
    </w:tbl>
    <w:p/>
    <w:p>
      <w:pPr>
        <w:pStyle w:val="Heading2"/>
      </w:pPr>
      <w:r>
        <w:t>4. Ejecutar una extracción</w:t>
      </w:r>
    </w:p>
    <w:p>
      <w:pPr>
        <w:pStyle w:val="ListParagraph"/>
        <w:spacing w:before="20" w:after="20"/>
        <w:ind w:left="360" w:hanging="360"/>
      </w:pPr>
      <w:r>
        <w:t xml:space="preserve">1.  </w:t>
      </w:r>
      <w:r>
        <w:t xml:space="preserve">Pulsar </w:t>
      </w:r>
      <w:r>
        <w:rPr>
          <w:b/>
        </w:rPr>
        <w:t>…</w:t>
      </w:r>
      <w:r>
        <w:t xml:space="preserve"> junto a </w:t>
      </w:r>
      <w:r>
        <w:rPr>
          <w:i/>
        </w:rPr>
        <w:t>Excel de entrada</w:t>
      </w:r>
      <w:r>
        <w:t xml:space="preserve"> y elegir el reporte exportado de SIPI.</w:t>
      </w:r>
    </w:p>
    <w:p>
      <w:pPr>
        <w:pStyle w:val="ListParagraph"/>
        <w:spacing w:before="20" w:after="20"/>
        <w:ind w:left="360" w:hanging="360"/>
      </w:pPr>
      <w:r>
        <w:t xml:space="preserve">2.  </w:t>
      </w:r>
      <w:r>
        <w:t xml:space="preserve">Todo lo demás ya viene puesto. Pulsar </w:t>
      </w:r>
      <w:r>
        <w:rPr>
          <w:b/>
        </w:rPr>
        <w:t>Iniciar</w:t>
      </w:r>
      <w:r>
        <w:t>.</w:t>
      </w:r>
    </w:p>
    <w:p>
      <w:pPr>
        <w:pStyle w:val="ListParagraph"/>
        <w:spacing w:before="20" w:after="20"/>
        <w:ind w:left="360" w:hanging="360"/>
      </w:pPr>
      <w:r>
        <w:t xml:space="preserve">3.  </w:t>
      </w:r>
      <w:r>
        <w:t>Esperar. Un reporte completo tarda menos de una hora, según lo cargado que esté SIPI.</w:t>
      </w:r>
    </w:p>
    <w:p>
      <w:pPr>
        <w:pStyle w:val="ListParagraph"/>
        <w:spacing w:before="20" w:after="20"/>
        <w:ind w:left="360" w:hanging="360"/>
      </w:pPr>
      <w:r>
        <w:t xml:space="preserve">4.  </w:t>
      </w:r>
      <w:r>
        <w:t xml:space="preserve">Al terminar aparece un resumen. Pulsar </w:t>
      </w:r>
      <w:r>
        <w:rPr>
          <w:b/>
        </w:rPr>
        <w:t>Abrir carpeta de salida</w:t>
      </w:r>
      <w:r>
        <w:t>.</w:t>
      </w:r>
    </w:p>
    <w:p>
      <w:pPr/>
      <w:r>
        <w:t>Mientras corre, el panel muestra el porcentaje, la barra de avance y cinco contadores: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Contador</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Qué cuenta</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Expedientes</w:t>
            </w:r>
          </w:p>
        </w:tc>
        <w:tc>
          <w:tcPr>
            <w:tcW w:type="dxa" w:w="4320"/>
            <w:tcBorders>
              <w:top w:val="single" w:sz="4" w:space="0" w:color="000000"/>
              <w:left w:val="single" w:sz="4" w:space="0" w:color="000000"/>
              <w:bottom w:val="single" w:sz="4" w:space="0" w:color="000000"/>
              <w:right w:val="single" w:sz="4" w:space="0" w:color="000000"/>
            </w:tcBorders>
          </w:tcPr>
          <w:p>
            <w:r>
              <w:rPr>
                <w:sz w:val="18"/>
              </w:rPr>
              <w:t>filas del reporte ya procesadas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PDFs</w:t>
            </w:r>
          </w:p>
        </w:tc>
        <w:tc>
          <w:tcPr>
            <w:tcW w:type="dxa" w:w="4320"/>
            <w:tcBorders>
              <w:top w:val="single" w:sz="4" w:space="0" w:color="000000"/>
              <w:left w:val="single" w:sz="4" w:space="0" w:color="000000"/>
              <w:bottom w:val="single" w:sz="4" w:space="0" w:color="000000"/>
              <w:right w:val="single" w:sz="4" w:space="0" w:color="000000"/>
            </w:tcBorders>
          </w:tcPr>
          <w:p>
            <w:r>
              <w:rPr>
                <w:sz w:val="18"/>
              </w:rPr>
              <w:t>documentos descargados en esta corrida (los reutilizados no cuentan)</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Filas</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las que llevará el Excel de salida — </w:t>
            </w:r>
            <w:r>
              <w:rPr>
                <w:b/>
                <w:sz w:val="18"/>
              </w:rPr>
              <w:t>es mayor que «Expedientes»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Avisos</w:t>
            </w:r>
          </w:p>
        </w:tc>
        <w:tc>
          <w:tcPr>
            <w:tcW w:type="dxa" w:w="4320"/>
            <w:tcBorders>
              <w:top w:val="single" w:sz="4" w:space="0" w:color="000000"/>
              <w:left w:val="single" w:sz="4" w:space="0" w:color="000000"/>
              <w:bottom w:val="single" w:sz="4" w:space="0" w:color="000000"/>
              <w:right w:val="single" w:sz="4" w:space="0" w:color="000000"/>
            </w:tcBorders>
          </w:tcPr>
          <w:p>
            <w:r>
              <w:rPr>
                <w:sz w:val="18"/>
              </w:rPr>
              <w:t>cosas que conviene revisar a mano; están en la columna «Observaciones»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Errores</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expedientes que no se pudieron leer. </w:t>
            </w:r>
            <w:r>
              <w:rPr>
                <w:b/>
                <w:sz w:val="18"/>
              </w:rPr>
              <w:t>Salen igual en el Excel</w:t>
            </w:r>
            <w:r>
              <w:rPr>
                <w:sz w:val="18"/>
              </w:rPr>
              <w:t>, con la celda vacía y la causa</w:t>
            </w:r>
          </w:p>
        </w:tc>
      </w:tr>
    </w:tbl>
    <w:p/>
    <w:p>
      <w:pPr/>
      <w:r>
        <w:t>El Excel se escribe al terminar, no durante la corrida.</w:t>
      </w:r>
    </w:p>
    <w:p>
      <w:pPr/>
      <w:r>
        <w:t xml:space="preserve">Si la corrida se interrumpe o termina con errores, basta relanzarla con el mismo Excel y </w:t>
      </w:r>
      <w:r>
        <w:rPr>
          <w:b/>
        </w:rPr>
        <w:t>Reusar PDFs</w:t>
      </w:r>
      <w:r>
        <w:t xml:space="preserve"> marcado: solo reintenta lo que falló y es mucho más rápida.</w:t>
      </w:r>
    </w:p>
    <w:p>
      <w:pPr>
        <w:pStyle w:val="Heading2"/>
      </w:pPr>
      <w:r>
        <w:t>5. El Excel de salida</w:t>
      </w:r>
    </w:p>
    <w:p>
      <w:pPr/>
      <w:r>
        <w:t xml:space="preserve">Las cabeceras van en la </w:t>
      </w:r>
      <w:r>
        <w:rPr>
          <w:b/>
        </w:rPr>
        <w:t>fila 2</w:t>
      </w:r>
      <w:r>
        <w:t xml:space="preserve">; los datos empiezan en la 3. La cabecera </w:t>
      </w:r>
      <w:r>
        <w:rPr>
          <w:b/>
        </w:rPr>
        <w:t>gris</w:t>
      </w:r>
      <w:r>
        <w:t xml:space="preserve"> marca las columnas que vienen del Excel que se entregó y la </w:t>
      </w:r>
      <w:r>
        <w:rPr>
          <w:b/>
        </w:rPr>
        <w:t>amarilla</w:t>
      </w:r>
      <w:r>
        <w:t xml:space="preserve"> las que produce este programa. El expediente de la columna 1 lleva enlace a su ficha en SIPI.</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16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w:t>
            </w:r>
          </w:p>
        </w:tc>
        <w:tc>
          <w:tcPr>
            <w:tcW w:type="dxa" w:w="216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Columna</w:t>
            </w:r>
          </w:p>
        </w:tc>
        <w:tc>
          <w:tcPr>
            <w:tcW w:type="dxa" w:w="216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De dónde sale</w:t>
            </w:r>
          </w:p>
        </w:tc>
        <w:tc>
          <w:tcPr>
            <w:tcW w:type="dxa" w:w="216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Valores</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w:t>
            </w:r>
          </w:p>
        </w:tc>
        <w:tc>
          <w:tcPr>
            <w:tcW w:type="dxa" w:w="2160"/>
            <w:tcBorders>
              <w:top w:val="single" w:sz="4" w:space="0" w:color="000000"/>
              <w:left w:val="single" w:sz="4" w:space="0" w:color="000000"/>
              <w:bottom w:val="single" w:sz="4" w:space="0" w:color="000000"/>
              <w:right w:val="single" w:sz="4" w:space="0" w:color="000000"/>
            </w:tcBorders>
          </w:tcPr>
          <w:p>
            <w:r>
              <w:rPr>
                <w:sz w:val="18"/>
              </w:rPr>
              <w:t>Número de Expediente</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SD2022/0000017</w:t>
            </w:r>
            <w:r>
              <w:rPr>
                <w:sz w:val="18"/>
              </w:rPr>
              <w:t>, con enlace a SIPI</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2</w:t>
            </w:r>
          </w:p>
        </w:tc>
        <w:tc>
          <w:tcPr>
            <w:tcW w:type="dxa" w:w="2160"/>
            <w:tcBorders>
              <w:top w:val="single" w:sz="4" w:space="0" w:color="000000"/>
              <w:left w:val="single" w:sz="4" w:space="0" w:color="000000"/>
              <w:bottom w:val="single" w:sz="4" w:space="0" w:color="000000"/>
              <w:right w:val="single" w:sz="4" w:space="0" w:color="000000"/>
            </w:tcBorders>
          </w:tcPr>
          <w:p>
            <w:r>
              <w:rPr>
                <w:sz w:val="18"/>
              </w:rPr>
              <w:t>Marca</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sz w:val="18"/>
              </w:rPr>
              <w:t>texto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3</w:t>
            </w:r>
          </w:p>
        </w:tc>
        <w:tc>
          <w:tcPr>
            <w:tcW w:type="dxa" w:w="2160"/>
            <w:tcBorders>
              <w:top w:val="single" w:sz="4" w:space="0" w:color="000000"/>
              <w:left w:val="single" w:sz="4" w:space="0" w:color="000000"/>
              <w:bottom w:val="single" w:sz="4" w:space="0" w:color="000000"/>
              <w:right w:val="single" w:sz="4" w:space="0" w:color="000000"/>
            </w:tcBorders>
          </w:tcPr>
          <w:p>
            <w:r>
              <w:rPr>
                <w:sz w:val="18"/>
              </w:rPr>
              <w:t>Naturaleza</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Nominativa</w:t>
            </w:r>
            <w:r>
              <w:rPr>
                <w:sz w:val="18"/>
              </w:rPr>
              <w:t xml:space="preserve">, </w:t>
            </w:r>
            <w:r>
              <w:rPr>
                <w:rFonts w:ascii="Consolas" w:hAnsi="Consolas"/>
                <w:sz w:val="18"/>
              </w:rPr>
              <w:t>Mixta</w:t>
            </w:r>
            <w:r>
              <w:rPr>
                <w:sz w:val="18"/>
              </w:rPr>
              <w:t xml:space="preserve">, </w:t>
            </w:r>
            <w:r>
              <w:rPr>
                <w:rFonts w:ascii="Consolas" w:hAnsi="Consolas"/>
                <w:sz w:val="18"/>
              </w:rPr>
              <w:t>Figurativa</w:t>
            </w:r>
            <w:r>
              <w:rPr>
                <w:sz w:val="18"/>
              </w:rPr>
              <w:t xml:space="preserve">, </w:t>
            </w:r>
            <w:r>
              <w:rPr>
                <w:rFonts w:ascii="Consolas" w:hAnsi="Consolas"/>
                <w:sz w:val="18"/>
              </w:rPr>
              <w:t>Tridimensional</w:t>
            </w:r>
            <w:r>
              <w:rPr>
                <w:sz w:val="18"/>
              </w:rPr>
              <w:t xml:space="preserve">, </w:t>
            </w:r>
            <w:r>
              <w:rPr>
                <w:rFonts w:ascii="Consolas" w:hAnsi="Consolas"/>
                <w:sz w:val="18"/>
              </w:rPr>
              <w:t>3D</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4</w:t>
            </w:r>
          </w:p>
        </w:tc>
        <w:tc>
          <w:tcPr>
            <w:tcW w:type="dxa" w:w="2160"/>
            <w:tcBorders>
              <w:top w:val="single" w:sz="4" w:space="0" w:color="000000"/>
              <w:left w:val="single" w:sz="4" w:space="0" w:color="000000"/>
              <w:bottom w:val="single" w:sz="4" w:space="0" w:color="000000"/>
              <w:right w:val="single" w:sz="4" w:space="0" w:color="000000"/>
            </w:tcBorders>
          </w:tcPr>
          <w:p>
            <w:r>
              <w:rPr>
                <w:sz w:val="18"/>
              </w:rPr>
              <w:t>Presenta Oposición</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Sí</w:t>
            </w:r>
            <w:r>
              <w:rPr>
                <w:sz w:val="18"/>
              </w:rPr>
              <w:t xml:space="preserve"> / </w:t>
            </w:r>
            <w:r>
              <w:rPr>
                <w:rFonts w:ascii="Consolas" w:hAnsi="Consolas"/>
                <w:sz w:val="18"/>
              </w:rPr>
              <w:t>No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5</w:t>
            </w:r>
          </w:p>
        </w:tc>
        <w:tc>
          <w:tcPr>
            <w:tcW w:type="dxa" w:w="2160"/>
            <w:tcBorders>
              <w:top w:val="single" w:sz="4" w:space="0" w:color="000000"/>
              <w:left w:val="single" w:sz="4" w:space="0" w:color="000000"/>
              <w:bottom w:val="single" w:sz="4" w:space="0" w:color="000000"/>
              <w:right w:val="single" w:sz="4" w:space="0" w:color="000000"/>
            </w:tcBorders>
          </w:tcPr>
          <w:p>
            <w:r>
              <w:rPr>
                <w:sz w:val="18"/>
              </w:rPr>
              <w:t>Opositor 1</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nombre tal como lo escribe la SIC</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6</w:t>
            </w:r>
          </w:p>
        </w:tc>
        <w:tc>
          <w:tcPr>
            <w:tcW w:type="dxa" w:w="2160"/>
            <w:tcBorders>
              <w:top w:val="single" w:sz="4" w:space="0" w:color="000000"/>
              <w:left w:val="single" w:sz="4" w:space="0" w:color="000000"/>
              <w:bottom w:val="single" w:sz="4" w:space="0" w:color="000000"/>
              <w:right w:val="single" w:sz="4" w:space="0" w:color="000000"/>
            </w:tcBorders>
          </w:tcPr>
          <w:p>
            <w:r>
              <w:rPr>
                <w:sz w:val="18"/>
              </w:rPr>
              <w:t>Nombre corto OPOSITOR 1</w:t>
            </w:r>
          </w:p>
        </w:tc>
        <w:tc>
          <w:tcPr>
            <w:tcW w:type="dxa" w:w="2160"/>
            <w:tcBorders>
              <w:top w:val="single" w:sz="4" w:space="0" w:color="000000"/>
              <w:left w:val="single" w:sz="4" w:space="0" w:color="000000"/>
              <w:bottom w:val="single" w:sz="4" w:space="0" w:color="000000"/>
              <w:right w:val="single" w:sz="4" w:space="0" w:color="000000"/>
            </w:tcBorders>
          </w:tcPr>
          <w:p>
            <w:r>
              <w:rPr>
                <w:sz w:val="18"/>
              </w:rPr>
              <w:t>diccionario de alias</w:t>
            </w:r>
          </w:p>
        </w:tc>
        <w:tc>
          <w:tcPr>
            <w:tcW w:type="dxa" w:w="2160"/>
            <w:tcBorders>
              <w:top w:val="single" w:sz="4" w:space="0" w:color="000000"/>
              <w:left w:val="single" w:sz="4" w:space="0" w:color="000000"/>
              <w:bottom w:val="single" w:sz="4" w:space="0" w:color="000000"/>
              <w:right w:val="single" w:sz="4" w:space="0" w:color="000000"/>
            </w:tcBorders>
          </w:tcPr>
          <w:p>
            <w:r>
              <w:rPr>
                <w:sz w:val="18"/>
              </w:rPr>
              <w:t>vacío si no está en el diccionario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7</w:t>
            </w:r>
          </w:p>
        </w:tc>
        <w:tc>
          <w:tcPr>
            <w:tcW w:type="dxa" w:w="2160"/>
            <w:tcBorders>
              <w:top w:val="single" w:sz="4" w:space="0" w:color="000000"/>
              <w:left w:val="single" w:sz="4" w:space="0" w:color="000000"/>
              <w:bottom w:val="single" w:sz="4" w:space="0" w:color="000000"/>
              <w:right w:val="single" w:sz="4" w:space="0" w:color="000000"/>
            </w:tcBorders>
          </w:tcPr>
          <w:p>
            <w:r>
              <w:rPr>
                <w:sz w:val="18"/>
              </w:rPr>
              <w:t>Art OP 1</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 xml:space="preserve">artículos que invocó, p. ej. </w:t>
            </w:r>
            <w:r>
              <w:rPr>
                <w:rFonts w:ascii="Consolas" w:hAnsi="Consolas"/>
                <w:sz w:val="18"/>
              </w:rPr>
              <w:t>136a, 136b</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8</w:t>
            </w:r>
          </w:p>
        </w:tc>
        <w:tc>
          <w:tcPr>
            <w:tcW w:type="dxa" w:w="2160"/>
            <w:tcBorders>
              <w:top w:val="single" w:sz="4" w:space="0" w:color="000000"/>
              <w:left w:val="single" w:sz="4" w:space="0" w:color="000000"/>
              <w:bottom w:val="single" w:sz="4" w:space="0" w:color="000000"/>
              <w:right w:val="single" w:sz="4" w:space="0" w:color="000000"/>
            </w:tcBorders>
          </w:tcPr>
          <w:p>
            <w:r>
              <w:rPr>
                <w:sz w:val="18"/>
              </w:rPr>
              <w:t>Fundada OP 1</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SI</w:t>
            </w:r>
            <w:r>
              <w:rPr>
                <w:sz w:val="18"/>
              </w:rPr>
              <w:t xml:space="preserve"> / </w:t>
            </w:r>
            <w:r>
              <w:rPr>
                <w:rFonts w:ascii="Consolas" w:hAnsi="Consolas"/>
                <w:sz w:val="18"/>
              </w:rPr>
              <w:t>NO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9</w:t>
            </w:r>
          </w:p>
        </w:tc>
        <w:tc>
          <w:tcPr>
            <w:tcW w:type="dxa" w:w="2160"/>
            <w:tcBorders>
              <w:top w:val="single" w:sz="4" w:space="0" w:color="000000"/>
              <w:left w:val="single" w:sz="4" w:space="0" w:color="000000"/>
              <w:bottom w:val="single" w:sz="4" w:space="0" w:color="000000"/>
              <w:right w:val="single" w:sz="4" w:space="0" w:color="000000"/>
            </w:tcBorders>
          </w:tcPr>
          <w:p>
            <w:r>
              <w:rPr>
                <w:sz w:val="18"/>
              </w:rPr>
              <w:t>Opositor 2</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vacío si solo hubo un opositor</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10</w:t>
            </w:r>
          </w:p>
        </w:tc>
        <w:tc>
          <w:tcPr>
            <w:tcW w:type="dxa" w:w="2160"/>
            <w:tcBorders>
              <w:top w:val="single" w:sz="4" w:space="0" w:color="000000"/>
              <w:left w:val="single" w:sz="4" w:space="0" w:color="000000"/>
              <w:bottom w:val="single" w:sz="4" w:space="0" w:color="000000"/>
              <w:right w:val="single" w:sz="4" w:space="0" w:color="000000"/>
            </w:tcBorders>
          </w:tcPr>
          <w:p>
            <w:r>
              <w:rPr>
                <w:sz w:val="18"/>
              </w:rPr>
              <w:t>Nombre corto OPOSITOR 2</w:t>
            </w:r>
          </w:p>
        </w:tc>
        <w:tc>
          <w:tcPr>
            <w:tcW w:type="dxa" w:w="2160"/>
            <w:tcBorders>
              <w:top w:val="single" w:sz="4" w:space="0" w:color="000000"/>
              <w:left w:val="single" w:sz="4" w:space="0" w:color="000000"/>
              <w:bottom w:val="single" w:sz="4" w:space="0" w:color="000000"/>
              <w:right w:val="single" w:sz="4" w:space="0" w:color="000000"/>
            </w:tcBorders>
          </w:tcPr>
          <w:p>
            <w:r>
              <w:rPr>
                <w:sz w:val="18"/>
              </w:rPr>
              <w:t>diccionario de alias</w:t>
            </w:r>
          </w:p>
        </w:tc>
        <w:tc>
          <w:tcPr>
            <w:tcW w:type="dxa" w:w="2160"/>
            <w:tcBorders>
              <w:top w:val="single" w:sz="4" w:space="0" w:color="000000"/>
              <w:left w:val="single" w:sz="4" w:space="0" w:color="000000"/>
              <w:bottom w:val="single" w:sz="4" w:space="0" w:color="000000"/>
              <w:right w:val="single" w:sz="4" w:space="0" w:color="000000"/>
            </w:tcBorders>
          </w:tcPr>
          <w:p>
            <w:r>
              <w:rPr>
                <w:sz w:val="18"/>
              </w:rPr>
              <w:t>igual que la 6</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11</w:t>
            </w:r>
          </w:p>
        </w:tc>
        <w:tc>
          <w:tcPr>
            <w:tcW w:type="dxa" w:w="2160"/>
            <w:tcBorders>
              <w:top w:val="single" w:sz="4" w:space="0" w:color="000000"/>
              <w:left w:val="single" w:sz="4" w:space="0" w:color="000000"/>
              <w:bottom w:val="single" w:sz="4" w:space="0" w:color="000000"/>
              <w:right w:val="single" w:sz="4" w:space="0" w:color="000000"/>
            </w:tcBorders>
          </w:tcPr>
          <w:p>
            <w:r>
              <w:rPr>
                <w:sz w:val="18"/>
              </w:rPr>
              <w:t>Art Opositor 2</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igual que la 7</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12</w:t>
            </w:r>
          </w:p>
        </w:tc>
        <w:tc>
          <w:tcPr>
            <w:tcW w:type="dxa" w:w="2160"/>
            <w:tcBorders>
              <w:top w:val="single" w:sz="4" w:space="0" w:color="000000"/>
              <w:left w:val="single" w:sz="4" w:space="0" w:color="000000"/>
              <w:bottom w:val="single" w:sz="4" w:space="0" w:color="000000"/>
              <w:right w:val="single" w:sz="4" w:space="0" w:color="000000"/>
            </w:tcBorders>
          </w:tcPr>
          <w:p>
            <w:r>
              <w:rPr>
                <w:sz w:val="18"/>
              </w:rPr>
              <w:t>Fundada OP 2</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igual que la 8</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13</w:t>
            </w:r>
          </w:p>
        </w:tc>
        <w:tc>
          <w:tcPr>
            <w:tcW w:type="dxa" w:w="2160"/>
            <w:tcBorders>
              <w:top w:val="single" w:sz="4" w:space="0" w:color="000000"/>
              <w:left w:val="single" w:sz="4" w:space="0" w:color="000000"/>
              <w:bottom w:val="single" w:sz="4" w:space="0" w:color="000000"/>
              <w:right w:val="single" w:sz="4" w:space="0" w:color="000000"/>
            </w:tcBorders>
          </w:tcPr>
          <w:p>
            <w:r>
              <w:rPr>
                <w:b/>
                <w:sz w:val="18"/>
              </w:rPr>
              <w:t>MOTIVO Negación</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b/>
                <w:sz w:val="18"/>
              </w:rPr>
              <w:t>una sola causal</w:t>
            </w:r>
            <w:r>
              <w:rPr>
                <w:sz w:val="18"/>
              </w:rPr>
              <w:t xml:space="preserve">, p. ej. </w:t>
            </w:r>
            <w:r>
              <w:rPr>
                <w:rFonts w:ascii="Consolas" w:hAnsi="Consolas"/>
                <w:sz w:val="18"/>
              </w:rPr>
              <w:t>136a</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14</w:t>
            </w:r>
          </w:p>
        </w:tc>
        <w:tc>
          <w:tcPr>
            <w:tcW w:type="dxa" w:w="2160"/>
            <w:tcBorders>
              <w:top w:val="single" w:sz="4" w:space="0" w:color="000000"/>
              <w:left w:val="single" w:sz="4" w:space="0" w:color="000000"/>
              <w:bottom w:val="single" w:sz="4" w:space="0" w:color="000000"/>
              <w:right w:val="single" w:sz="4" w:space="0" w:color="000000"/>
            </w:tcBorders>
          </w:tcPr>
          <w:p>
            <w:r>
              <w:rPr>
                <w:sz w:val="18"/>
              </w:rPr>
              <w:t>Apelación a la negación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tabla de documentos del expediente</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SI</w:t>
            </w:r>
            <w:r>
              <w:rPr>
                <w:sz w:val="18"/>
              </w:rPr>
              <w:t xml:space="preserve"> / </w:t>
            </w:r>
            <w:r>
              <w:rPr>
                <w:rFonts w:ascii="Consolas" w:hAnsi="Consolas"/>
                <w:sz w:val="18"/>
              </w:rPr>
              <w:t>no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15</w:t>
            </w:r>
          </w:p>
        </w:tc>
        <w:tc>
          <w:tcPr>
            <w:tcW w:type="dxa" w:w="2160"/>
            <w:tcBorders>
              <w:top w:val="single" w:sz="4" w:space="0" w:color="000000"/>
              <w:left w:val="single" w:sz="4" w:space="0" w:color="000000"/>
              <w:bottom w:val="single" w:sz="4" w:space="0" w:color="000000"/>
              <w:right w:val="single" w:sz="4" w:space="0" w:color="000000"/>
            </w:tcBorders>
          </w:tcPr>
          <w:p>
            <w:r>
              <w:rPr>
                <w:sz w:val="18"/>
              </w:rPr>
              <w:t>Titular</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sz w:val="18"/>
              </w:rPr>
              <w:t>texto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16</w:t>
            </w:r>
          </w:p>
        </w:tc>
        <w:tc>
          <w:tcPr>
            <w:tcW w:type="dxa" w:w="2160"/>
            <w:tcBorders>
              <w:top w:val="single" w:sz="4" w:space="0" w:color="000000"/>
              <w:left w:val="single" w:sz="4" w:space="0" w:color="000000"/>
              <w:bottom w:val="single" w:sz="4" w:space="0" w:color="000000"/>
              <w:right w:val="single" w:sz="4" w:space="0" w:color="000000"/>
            </w:tcBorders>
          </w:tcPr>
          <w:p>
            <w:r>
              <w:rPr>
                <w:sz w:val="18"/>
              </w:rPr>
              <w:t>NIZA</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sz w:val="18"/>
              </w:rPr>
              <w:t>clases</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17</w:t>
            </w:r>
          </w:p>
        </w:tc>
        <w:tc>
          <w:tcPr>
            <w:tcW w:type="dxa" w:w="2160"/>
            <w:tcBorders>
              <w:top w:val="single" w:sz="4" w:space="0" w:color="000000"/>
              <w:left w:val="single" w:sz="4" w:space="0" w:color="000000"/>
              <w:bottom w:val="single" w:sz="4" w:space="0" w:color="000000"/>
              <w:right w:val="single" w:sz="4" w:space="0" w:color="000000"/>
            </w:tcBorders>
          </w:tcPr>
          <w:p>
            <w:r>
              <w:rPr>
                <w:b/>
                <w:sz w:val="18"/>
              </w:rPr>
              <w:t>Motivo #</w:t>
            </w:r>
          </w:p>
        </w:tc>
        <w:tc>
          <w:tcPr>
            <w:tcW w:type="dxa" w:w="2160"/>
            <w:tcBorders>
              <w:top w:val="single" w:sz="4" w:space="0" w:color="000000"/>
              <w:left w:val="single" w:sz="4" w:space="0" w:color="000000"/>
              <w:bottom w:val="single" w:sz="4" w:space="0" w:color="000000"/>
              <w:right w:val="single" w:sz="4" w:space="0" w:color="000000"/>
            </w:tcBorders>
          </w:tcPr>
          <w:p>
            <w:r>
              <w:rPr>
                <w:sz w:val="18"/>
              </w:rPr>
              <w:t>calculada</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1</w:t>
            </w:r>
            <w:r>
              <w:rPr>
                <w:sz w:val="18"/>
              </w:rPr>
              <w:t xml:space="preserve">, </w:t>
            </w:r>
            <w:r>
              <w:rPr>
                <w:rFonts w:ascii="Consolas" w:hAnsi="Consolas"/>
                <w:sz w:val="18"/>
              </w:rPr>
              <w:t>2</w:t>
            </w:r>
            <w:r>
              <w:rPr>
                <w:sz w:val="18"/>
              </w:rPr>
              <w:t xml:space="preserve">, </w:t>
            </w:r>
            <w:r>
              <w:rPr>
                <w:rFonts w:ascii="Consolas" w:hAnsi="Consolas"/>
                <w:sz w:val="18"/>
              </w:rPr>
              <w:t>3</w:t>
            </w:r>
            <w:r>
              <w:rPr>
                <w:sz w:val="18"/>
              </w:rPr>
              <w:t>…</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18</w:t>
            </w:r>
          </w:p>
        </w:tc>
        <w:tc>
          <w:tcPr>
            <w:tcW w:type="dxa" w:w="2160"/>
            <w:tcBorders>
              <w:top w:val="single" w:sz="4" w:space="0" w:color="000000"/>
              <w:left w:val="single" w:sz="4" w:space="0" w:color="000000"/>
              <w:bottom w:val="single" w:sz="4" w:space="0" w:color="000000"/>
              <w:right w:val="single" w:sz="4" w:space="0" w:color="000000"/>
            </w:tcBorders>
          </w:tcPr>
          <w:p>
            <w:r>
              <w:rPr>
                <w:b/>
                <w:sz w:val="18"/>
              </w:rPr>
              <w:t>Motivos totales</w:t>
            </w:r>
          </w:p>
        </w:tc>
        <w:tc>
          <w:tcPr>
            <w:tcW w:type="dxa" w:w="2160"/>
            <w:tcBorders>
              <w:top w:val="single" w:sz="4" w:space="0" w:color="000000"/>
              <w:left w:val="single" w:sz="4" w:space="0" w:color="000000"/>
              <w:bottom w:val="single" w:sz="4" w:space="0" w:color="000000"/>
              <w:right w:val="single" w:sz="4" w:space="0" w:color="000000"/>
            </w:tcBorders>
          </w:tcPr>
          <w:p>
            <w:r>
              <w:rPr>
                <w:sz w:val="18"/>
              </w:rPr>
              <w:t>calculada</w:t>
            </w:r>
          </w:p>
        </w:tc>
        <w:tc>
          <w:tcPr>
            <w:tcW w:type="dxa" w:w="2160"/>
            <w:tcBorders>
              <w:top w:val="single" w:sz="4" w:space="0" w:color="000000"/>
              <w:left w:val="single" w:sz="4" w:space="0" w:color="000000"/>
              <w:bottom w:val="single" w:sz="4" w:space="0" w:color="000000"/>
              <w:right w:val="single" w:sz="4" w:space="0" w:color="000000"/>
            </w:tcBorders>
          </w:tcPr>
          <w:p>
            <w:r>
              <w:rPr>
                <w:sz w:val="18"/>
              </w:rPr>
              <w:t>cuántas causales tiene ese expediente</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19</w:t>
            </w:r>
          </w:p>
        </w:tc>
        <w:tc>
          <w:tcPr>
            <w:tcW w:type="dxa" w:w="2160"/>
            <w:tcBorders>
              <w:top w:val="single" w:sz="4" w:space="0" w:color="000000"/>
              <w:left w:val="single" w:sz="4" w:space="0" w:color="000000"/>
              <w:bottom w:val="single" w:sz="4" w:space="0" w:color="000000"/>
              <w:right w:val="single" w:sz="4" w:space="0" w:color="000000"/>
            </w:tcBorders>
          </w:tcPr>
          <w:p>
            <w:r>
              <w:rPr>
                <w:b/>
                <w:sz w:val="18"/>
              </w:rPr>
              <w:t>Observaciones</w:t>
            </w:r>
          </w:p>
        </w:tc>
        <w:tc>
          <w:tcPr>
            <w:tcW w:type="dxa" w:w="2160"/>
            <w:tcBorders>
              <w:top w:val="single" w:sz="4" w:space="0" w:color="000000"/>
              <w:left w:val="single" w:sz="4" w:space="0" w:color="000000"/>
              <w:bottom w:val="single" w:sz="4" w:space="0" w:color="000000"/>
              <w:right w:val="single" w:sz="4" w:space="0" w:color="000000"/>
            </w:tcBorders>
          </w:tcPr>
          <w:p>
            <w:r>
              <w:rPr>
                <w:sz w:val="18"/>
              </w:rPr>
              <w:t>calculada</w:t>
            </w:r>
          </w:p>
        </w:tc>
        <w:tc>
          <w:tcPr>
            <w:tcW w:type="dxa" w:w="2160"/>
            <w:tcBorders>
              <w:top w:val="single" w:sz="4" w:space="0" w:color="000000"/>
              <w:left w:val="single" w:sz="4" w:space="0" w:color="000000"/>
              <w:bottom w:val="single" w:sz="4" w:space="0" w:color="000000"/>
              <w:right w:val="single" w:sz="4" w:space="0" w:color="000000"/>
            </w:tcBorders>
          </w:tcPr>
          <w:p>
            <w:r>
              <w:rPr>
                <w:sz w:val="18"/>
              </w:rPr>
              <w:t>qué revisar a mano, en texto claro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20</w:t>
            </w:r>
          </w:p>
        </w:tc>
        <w:tc>
          <w:tcPr>
            <w:tcW w:type="dxa" w:w="2160"/>
            <w:tcBorders>
              <w:top w:val="single" w:sz="4" w:space="0" w:color="000000"/>
              <w:left w:val="single" w:sz="4" w:space="0" w:color="000000"/>
              <w:bottom w:val="single" w:sz="4" w:space="0" w:color="000000"/>
              <w:right w:val="single" w:sz="4" w:space="0" w:color="000000"/>
            </w:tcBorders>
          </w:tcPr>
          <w:p>
            <w:r>
              <w:rPr>
                <w:sz w:val="18"/>
              </w:rPr>
              <w:t>Descripción de Productos y Servicios</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sz w:val="18"/>
              </w:rPr>
              <w:t>texto largo; va de última a propósito</w:t>
            </w:r>
          </w:p>
        </w:tc>
      </w:tr>
    </w:tbl>
    <w:p/>
    <w:p>
      <w:pPr/>
      <w:r>
        <w:rPr>
          <w:b/>
        </w:rPr>
        <w:t>Las filas moradas</w:t>
      </w:r>
      <w:r>
        <w:t xml:space="preserve"> son los expedientes sin opositor: las columnas 4 a 12 quedan vacías con razón. Si una fila tiene esas columnas vacías y </w:t>
      </w:r>
      <w:r>
        <w:rPr>
          <w:b/>
        </w:rPr>
        <w:t>no</w:t>
      </w:r>
      <w:r>
        <w:t xml:space="preserve"> está morada, conviene mirar «Observaciones».</w:t>
      </w:r>
    </w:p>
    <w:p>
      <w:pPr>
        <w:pStyle w:val="Heading3"/>
      </w:pPr>
      <w:r>
        <w:t>Una fila por motivo</w:t>
      </w:r>
    </w:p>
    <w:p>
      <w:pPr/>
      <w:r>
        <w:t xml:space="preserve">Un expediente negado por dos causales genera dos filas idénticas salvo </w:t>
      </w:r>
      <w:r>
        <w:rPr>
          <w:rFonts w:ascii="Consolas" w:hAnsi="Consolas"/>
          <w:sz w:val="18"/>
        </w:rPr>
        <w:t>MOTIVO Negación</w:t>
      </w:r>
      <w:r>
        <w: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rPr>
          <w:tblHeader/>
        </w:trPr>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Expediente</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Marca</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Opositor 1</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MOTIVO Negación</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Motivo #</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Motivos totales</w:t>
            </w:r>
          </w:p>
        </w:tc>
      </w:tr>
      <w:tr>
        <w:tc>
          <w:tcPr>
            <w:tcW w:type="dxa" w:w="1440"/>
            <w:tcBorders>
              <w:top w:val="single" w:sz="4" w:space="0" w:color="000000"/>
              <w:left w:val="single" w:sz="4" w:space="0" w:color="000000"/>
              <w:bottom w:val="single" w:sz="4" w:space="0" w:color="000000"/>
              <w:right w:val="single" w:sz="4" w:space="0" w:color="000000"/>
            </w:tcBorders>
          </w:tcPr>
          <w:p>
            <w:r>
              <w:rPr>
                <w:sz w:val="18"/>
              </w:rPr>
              <w:t>SD2022/0097089</w:t>
            </w:r>
          </w:p>
        </w:tc>
        <w:tc>
          <w:tcPr>
            <w:tcW w:type="dxa" w:w="1440"/>
            <w:tcBorders>
              <w:top w:val="single" w:sz="4" w:space="0" w:color="000000"/>
              <w:left w:val="single" w:sz="4" w:space="0" w:color="000000"/>
              <w:bottom w:val="single" w:sz="4" w:space="0" w:color="000000"/>
              <w:right w:val="single" w:sz="4" w:space="0" w:color="000000"/>
            </w:tcBorders>
          </w:tcPr>
          <w:p>
            <w:r>
              <w:rPr>
                <w:sz w:val="18"/>
              </w:rPr>
              <w:t>BASIC FOODING MILKO</w:t>
            </w:r>
          </w:p>
        </w:tc>
        <w:tc>
          <w:tcPr>
            <w:tcW w:type="dxa" w:w="1440"/>
            <w:tcBorders>
              <w:top w:val="single" w:sz="4" w:space="0" w:color="000000"/>
              <w:left w:val="single" w:sz="4" w:space="0" w:color="000000"/>
              <w:bottom w:val="single" w:sz="4" w:space="0" w:color="000000"/>
              <w:right w:val="single" w:sz="4" w:space="0" w:color="000000"/>
            </w:tcBorders>
          </w:tcPr>
          <w:p>
            <w:r>
              <w:rPr>
                <w:sz w:val="18"/>
              </w:rPr>
              <w:t>KRAFT FOODS SCHWEIZ HOLDING GMBH</w:t>
            </w:r>
          </w:p>
        </w:tc>
        <w:tc>
          <w:tcPr>
            <w:tcW w:type="dxa" w:w="1440"/>
            <w:tcBorders>
              <w:top w:val="single" w:sz="4" w:space="0" w:color="000000"/>
              <w:left w:val="single" w:sz="4" w:space="0" w:color="000000"/>
              <w:bottom w:val="single" w:sz="4" w:space="0" w:color="000000"/>
              <w:right w:val="single" w:sz="4" w:space="0" w:color="000000"/>
            </w:tcBorders>
          </w:tcPr>
          <w:p>
            <w:r>
              <w:rPr>
                <w:rFonts w:ascii="Consolas" w:hAnsi="Consolas"/>
                <w:sz w:val="18"/>
              </w:rPr>
              <w:t>136a</w:t>
            </w:r>
          </w:p>
        </w:tc>
        <w:tc>
          <w:tcPr>
            <w:tcW w:type="dxa" w:w="1440"/>
            <w:tcBorders>
              <w:top w:val="single" w:sz="4" w:space="0" w:color="000000"/>
              <w:left w:val="single" w:sz="4" w:space="0" w:color="000000"/>
              <w:bottom w:val="single" w:sz="4" w:space="0" w:color="000000"/>
              <w:right w:val="single" w:sz="4" w:space="0" w:color="000000"/>
            </w:tcBorders>
          </w:tcPr>
          <w:p>
            <w:r>
              <w:rPr>
                <w:sz w:val="18"/>
              </w:rPr>
              <w:t>1</w:t>
            </w:r>
          </w:p>
        </w:tc>
        <w:tc>
          <w:tcPr>
            <w:tcW w:type="dxa" w:w="1440"/>
            <w:tcBorders>
              <w:top w:val="single" w:sz="4" w:space="0" w:color="000000"/>
              <w:left w:val="single" w:sz="4" w:space="0" w:color="000000"/>
              <w:bottom w:val="single" w:sz="4" w:space="0" w:color="000000"/>
              <w:right w:val="single" w:sz="4" w:space="0" w:color="000000"/>
            </w:tcBorders>
          </w:tcPr>
          <w:p>
            <w:r>
              <w:rPr>
                <w:sz w:val="18"/>
              </w:rPr>
              <w:t>2</w:t>
            </w:r>
          </w:p>
        </w:tc>
      </w:tr>
      <w:tr>
        <w:tc>
          <w:tcPr>
            <w:tcW w:type="dxa" w:w="1440"/>
            <w:tcBorders>
              <w:top w:val="single" w:sz="4" w:space="0" w:color="000000"/>
              <w:left w:val="single" w:sz="4" w:space="0" w:color="000000"/>
              <w:bottom w:val="single" w:sz="4" w:space="0" w:color="000000"/>
              <w:right w:val="single" w:sz="4" w:space="0" w:color="000000"/>
            </w:tcBorders>
          </w:tcPr>
          <w:p>
            <w:r>
              <w:rPr>
                <w:sz w:val="18"/>
              </w:rPr>
              <w:t>SD2022/0097089</w:t>
            </w:r>
          </w:p>
        </w:tc>
        <w:tc>
          <w:tcPr>
            <w:tcW w:type="dxa" w:w="1440"/>
            <w:tcBorders>
              <w:top w:val="single" w:sz="4" w:space="0" w:color="000000"/>
              <w:left w:val="single" w:sz="4" w:space="0" w:color="000000"/>
              <w:bottom w:val="single" w:sz="4" w:space="0" w:color="000000"/>
              <w:right w:val="single" w:sz="4" w:space="0" w:color="000000"/>
            </w:tcBorders>
          </w:tcPr>
          <w:p>
            <w:r>
              <w:rPr>
                <w:sz w:val="18"/>
              </w:rPr>
              <w:t>BASIC FOODING MILKO</w:t>
            </w:r>
          </w:p>
        </w:tc>
        <w:tc>
          <w:tcPr>
            <w:tcW w:type="dxa" w:w="1440"/>
            <w:tcBorders>
              <w:top w:val="single" w:sz="4" w:space="0" w:color="000000"/>
              <w:left w:val="single" w:sz="4" w:space="0" w:color="000000"/>
              <w:bottom w:val="single" w:sz="4" w:space="0" w:color="000000"/>
              <w:right w:val="single" w:sz="4" w:space="0" w:color="000000"/>
            </w:tcBorders>
          </w:tcPr>
          <w:p>
            <w:r>
              <w:rPr>
                <w:sz w:val="18"/>
              </w:rPr>
              <w:t>KRAFT FOODS SCHWEIZ HOLDING GMBH</w:t>
            </w:r>
          </w:p>
        </w:tc>
        <w:tc>
          <w:tcPr>
            <w:tcW w:type="dxa" w:w="1440"/>
            <w:tcBorders>
              <w:top w:val="single" w:sz="4" w:space="0" w:color="000000"/>
              <w:left w:val="single" w:sz="4" w:space="0" w:color="000000"/>
              <w:bottom w:val="single" w:sz="4" w:space="0" w:color="000000"/>
              <w:right w:val="single" w:sz="4" w:space="0" w:color="000000"/>
            </w:tcBorders>
          </w:tcPr>
          <w:p>
            <w:r>
              <w:rPr>
                <w:rFonts w:ascii="Consolas" w:hAnsi="Consolas"/>
                <w:sz w:val="18"/>
              </w:rPr>
              <w:t>136h</w:t>
            </w:r>
          </w:p>
        </w:tc>
        <w:tc>
          <w:tcPr>
            <w:tcW w:type="dxa" w:w="1440"/>
            <w:tcBorders>
              <w:top w:val="single" w:sz="4" w:space="0" w:color="000000"/>
              <w:left w:val="single" w:sz="4" w:space="0" w:color="000000"/>
              <w:bottom w:val="single" w:sz="4" w:space="0" w:color="000000"/>
              <w:right w:val="single" w:sz="4" w:space="0" w:color="000000"/>
            </w:tcBorders>
          </w:tcPr>
          <w:p>
            <w:r>
              <w:rPr>
                <w:sz w:val="18"/>
              </w:rPr>
              <w:t>2</w:t>
            </w:r>
          </w:p>
        </w:tc>
        <w:tc>
          <w:tcPr>
            <w:tcW w:type="dxa" w:w="1440"/>
            <w:tcBorders>
              <w:top w:val="single" w:sz="4" w:space="0" w:color="000000"/>
              <w:left w:val="single" w:sz="4" w:space="0" w:color="000000"/>
              <w:bottom w:val="single" w:sz="4" w:space="0" w:color="000000"/>
              <w:right w:val="single" w:sz="4" w:space="0" w:color="000000"/>
            </w:tcBorders>
          </w:tcPr>
          <w:p>
            <w:r>
              <w:rPr>
                <w:sz w:val="18"/>
              </w:rPr>
              <w:t>2</w:t>
            </w:r>
          </w:p>
        </w:tc>
      </w:tr>
    </w:tbl>
    <w:p/>
    <w:p>
      <w:pPr/>
      <w:r>
        <w:t xml:space="preserve">Por eso el Excel tiene más filas que expedientes: para contarlos hay que filtrar por </w:t>
      </w:r>
      <w:r>
        <w:rPr>
          <w:rFonts w:ascii="Consolas" w:hAnsi="Consolas"/>
          <w:sz w:val="18"/>
        </w:rPr>
        <w:t>Motivo # = 1</w:t>
      </w:r>
      <w:r>
        <w:t>. Las filas de un mismo expediente salen siempre juntas y en el orden en que las causales aparecen en la resolución.</w:t>
      </w:r>
    </w:p>
    <w:p>
      <w:pPr/>
      <w:r>
        <w:t>Un expediente sin causal detectada sale igualmente, con una sola fila y la explicación en «Observaciones». Ningún expediente del reporte de entrada desaparece del Excel de salida.</w:t>
      </w:r>
    </w:p>
    <w:p>
      <w:pPr>
        <w:pStyle w:val="Heading3"/>
      </w:pPr>
      <w:r>
        <w:t>Solo cuentan las oposiciones dirigidas a la clase del reporte</w:t>
      </w:r>
    </w:p>
    <w:p>
      <w:pPr/>
      <w:r>
        <w:t xml:space="preserve">Una solicitud puede cubrir varias clases de Niza y recibir oposiciones dirigidas expresamente a otras. Por ejemplo, en un expediente de clases 5, 25 y 30, la resolución puede decir que un opositor </w:t>
      </w:r>
      <w:r>
        <w:rPr>
          <w:i/>
        </w:rPr>
        <w:t>«presentó oposición frente a la clase 25»</w:t>
      </w:r>
      <w:r>
        <w:t xml:space="preserve">: en un reporte de clase 5, esa fila sale con </w:t>
      </w:r>
      <w:r>
        <w:rPr>
          <w:b/>
        </w:rPr>
        <w:t>Presenta Oposición = No</w:t>
      </w:r>
      <w:r>
        <w:t xml:space="preserve"> y las columnas de opositor vacías.</w:t>
      </w:r>
    </w:p>
    <w:p>
      <w:pPr/>
      <w:r>
        <w:t>La clase que el programa toma como objetivo tiene que coincidir con el filtro «Good and Services Class» con el que se exportó el Excel de entrada. Si la oposición no dice a qué clase va, cuenta: se entiende dirigida a toda la solicitud.</w:t>
      </w:r>
    </w:p>
    <w:p>
      <w:pPr/>
      <w:r>
        <w:t>Cuando una oposición se descarta por este motivo, no se hace en silencio: queda anotado en «Observaciones» con el nombre del opositor y la clase a la que se opuso.</w:t>
      </w:r>
    </w:p>
    <w:p>
      <w:pPr>
        <w:pStyle w:val="Heading2"/>
      </w:pPr>
      <w:r>
        <w:t>6. Qué hay que revisar a mano</w:t>
      </w:r>
    </w:p>
    <w:p>
      <w:pPr/>
      <w:r>
        <w:t xml:space="preserve">La columna </w:t>
      </w:r>
      <w:r>
        <w:rPr>
          <w:b/>
        </w:rPr>
        <w:t>Observaciones</w:t>
      </w:r>
      <w:r>
        <w:t xml:space="preserve"> es el resumen del trabajo pendiente. El programa prefiere avisar antes que arriesgar un dato: si algo no se pudo leer con seguridad, la celda queda vacía y en Observaciones queda escrito el porqué, en texto claro.</w:t>
      </w:r>
    </w:p>
    <w:p>
      <w:pPr/>
      <w:r>
        <w:t xml:space="preserve">Los avisos que sí exigen abrir el PDF en </w:t>
      </w:r>
      <w:r>
        <w:rPr>
          <w:rFonts w:ascii="Consolas" w:hAnsi="Consolas"/>
          <w:sz w:val="18"/>
        </w:rPr>
        <w:t>salida\soportes\</w:t>
      </w:r>
      <w:r>
        <w: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Aviso</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Qué significa</w:t>
            </w:r>
          </w:p>
        </w:tc>
      </w:tr>
      <w:tr>
        <w:tc>
          <w:tcPr>
            <w:tcW w:type="dxa" w:w="4320"/>
            <w:tcBorders>
              <w:top w:val="single" w:sz="4" w:space="0" w:color="000000"/>
              <w:left w:val="single" w:sz="4" w:space="0" w:color="000000"/>
              <w:bottom w:val="single" w:sz="4" w:space="0" w:color="000000"/>
              <w:right w:val="single" w:sz="4" w:space="0" w:color="000000"/>
            </w:tcBorders>
          </w:tcPr>
          <w:p>
            <w:r>
              <w:rPr>
                <w:i/>
                <w:sz w:val="18"/>
              </w:rPr>
              <w:t>no se pudo determinar la causal</w:t>
            </w:r>
          </w:p>
        </w:tc>
        <w:tc>
          <w:tcPr>
            <w:tcW w:type="dxa" w:w="4320"/>
            <w:tcBorders>
              <w:top w:val="single" w:sz="4" w:space="0" w:color="000000"/>
              <w:left w:val="single" w:sz="4" w:space="0" w:color="000000"/>
              <w:bottom w:val="single" w:sz="4" w:space="0" w:color="000000"/>
              <w:right w:val="single" w:sz="4" w:space="0" w:color="000000"/>
            </w:tcBorders>
          </w:tcPr>
          <w:p>
            <w:r>
              <w:rPr>
                <w:sz w:val="18"/>
              </w:rPr>
              <w:t>La resolución niega el registro pero no se pudo leer con qué artículo. Hay que mirarlo en el PDF</w:t>
            </w:r>
          </w:p>
        </w:tc>
      </w:tr>
      <w:tr>
        <w:tc>
          <w:tcPr>
            <w:tcW w:type="dxa" w:w="4320"/>
            <w:tcBorders>
              <w:top w:val="single" w:sz="4" w:space="0" w:color="000000"/>
              <w:left w:val="single" w:sz="4" w:space="0" w:color="000000"/>
              <w:bottom w:val="single" w:sz="4" w:space="0" w:color="000000"/>
              <w:right w:val="single" w:sz="4" w:space="0" w:color="000000"/>
            </w:tcBorders>
          </w:tcPr>
          <w:p>
            <w:r>
              <w:rPr>
                <w:i/>
                <w:sz w:val="18"/>
              </w:rPr>
              <w:t>revisar esta fila a mano</w:t>
            </w:r>
          </w:p>
        </w:tc>
        <w:tc>
          <w:tcPr>
            <w:tcW w:type="dxa" w:w="4320"/>
            <w:tcBorders>
              <w:top w:val="single" w:sz="4" w:space="0" w:color="000000"/>
              <w:left w:val="single" w:sz="4" w:space="0" w:color="000000"/>
              <w:bottom w:val="single" w:sz="4" w:space="0" w:color="000000"/>
              <w:right w:val="single" w:sz="4" w:space="0" w:color="000000"/>
            </w:tcBorders>
          </w:tcPr>
          <w:p>
            <w:r>
              <w:rPr>
                <w:sz w:val="18"/>
              </w:rPr>
              <w:t>El dato extraído no cuadra con lo esperado y conviene comprobarlo</w:t>
            </w:r>
          </w:p>
        </w:tc>
      </w:tr>
      <w:tr>
        <w:tc>
          <w:tcPr>
            <w:tcW w:type="dxa" w:w="4320"/>
            <w:tcBorders>
              <w:top w:val="single" w:sz="4" w:space="0" w:color="000000"/>
              <w:left w:val="single" w:sz="4" w:space="0" w:color="000000"/>
              <w:bottom w:val="single" w:sz="4" w:space="0" w:color="000000"/>
              <w:right w:val="single" w:sz="4" w:space="0" w:color="000000"/>
            </w:tcBorders>
          </w:tcPr>
          <w:p>
            <w:r>
              <w:rPr>
                <w:i/>
                <w:sz w:val="18"/>
              </w:rPr>
              <w:t>el opositor invoca más artículos de los que se pudieron leer</w:t>
            </w:r>
          </w:p>
        </w:tc>
        <w:tc>
          <w:tcPr>
            <w:tcW w:type="dxa" w:w="4320"/>
            <w:tcBorders>
              <w:top w:val="single" w:sz="4" w:space="0" w:color="000000"/>
              <w:left w:val="single" w:sz="4" w:space="0" w:color="000000"/>
              <w:bottom w:val="single" w:sz="4" w:space="0" w:color="000000"/>
              <w:right w:val="single" w:sz="4" w:space="0" w:color="000000"/>
            </w:tcBorders>
          </w:tcPr>
          <w:p>
            <w:r>
              <w:rPr>
                <w:sz w:val="18"/>
              </w:rPr>
              <w:t>La columna «Art OP» quedó incompleta: faltan artículos</w:t>
            </w:r>
          </w:p>
        </w:tc>
      </w:tr>
      <w:tr>
        <w:tc>
          <w:tcPr>
            <w:tcW w:type="dxa" w:w="4320"/>
            <w:tcBorders>
              <w:top w:val="single" w:sz="4" w:space="0" w:color="000000"/>
              <w:left w:val="single" w:sz="4" w:space="0" w:color="000000"/>
              <w:bottom w:val="single" w:sz="4" w:space="0" w:color="000000"/>
              <w:right w:val="single" w:sz="4" w:space="0" w:color="000000"/>
            </w:tcBorders>
          </w:tcPr>
          <w:p>
            <w:r>
              <w:rPr>
                <w:i/>
                <w:sz w:val="18"/>
              </w:rPr>
              <w:t>el reporte dice «Bajo Oposición = …» y la resolución dice lo contrario</w:t>
            </w:r>
          </w:p>
        </w:tc>
        <w:tc>
          <w:tcPr>
            <w:tcW w:type="dxa" w:w="4320"/>
            <w:tcBorders>
              <w:top w:val="single" w:sz="4" w:space="0" w:color="000000"/>
              <w:left w:val="single" w:sz="4" w:space="0" w:color="000000"/>
              <w:bottom w:val="single" w:sz="4" w:space="0" w:color="000000"/>
              <w:right w:val="single" w:sz="4" w:space="0" w:color="000000"/>
            </w:tcBorders>
          </w:tcPr>
          <w:p>
            <w:r>
              <w:rPr>
                <w:sz w:val="18"/>
              </w:rPr>
              <w:t>El Excel de entrada y la resolución no coinciden. Manda la resolución, pero conviene verificarlo</w:t>
            </w:r>
          </w:p>
        </w:tc>
      </w:tr>
      <w:tr>
        <w:tc>
          <w:tcPr>
            <w:tcW w:type="dxa" w:w="4320"/>
            <w:tcBorders>
              <w:top w:val="single" w:sz="4" w:space="0" w:color="000000"/>
              <w:left w:val="single" w:sz="4" w:space="0" w:color="000000"/>
              <w:bottom w:val="single" w:sz="4" w:space="0" w:color="000000"/>
              <w:right w:val="single" w:sz="4" w:space="0" w:color="000000"/>
            </w:tcBorders>
          </w:tcPr>
          <w:p>
            <w:r>
              <w:rPr>
                <w:i/>
                <w:sz w:val="18"/>
              </w:rPr>
              <w:t>se opuso solo a la(s) clase(s) …</w:t>
            </w:r>
          </w:p>
        </w:tc>
        <w:tc>
          <w:tcPr>
            <w:tcW w:type="dxa" w:w="4320"/>
            <w:tcBorders>
              <w:top w:val="single" w:sz="4" w:space="0" w:color="000000"/>
              <w:left w:val="single" w:sz="4" w:space="0" w:color="000000"/>
              <w:bottom w:val="single" w:sz="4" w:space="0" w:color="000000"/>
              <w:right w:val="single" w:sz="4" w:space="0" w:color="000000"/>
            </w:tcBorders>
          </w:tcPr>
          <w:p>
            <w:r>
              <w:rPr>
                <w:sz w:val="18"/>
              </w:rPr>
              <w:t>Había una oposición y se dejó fuera a propósito, por ir dirigida a otra clase</w:t>
            </w:r>
          </w:p>
        </w:tc>
      </w:tr>
    </w:tbl>
    <w:p/>
    <w:p>
      <w:pPr/>
      <w:r>
        <w:t>El resto de avisos son informativos: explican por qué una celda quedó vacía, y en la mayoría de los casos no hay nada que corregir.</w:t>
      </w:r>
    </w:p>
    <w:p>
      <w:pPr/>
      <w:r>
        <w:t xml:space="preserve">La columna </w:t>
      </w:r>
      <w:r>
        <w:rPr>
          <w:b/>
        </w:rPr>
        <w:t>Nombre corto</w:t>
      </w:r>
      <w:r>
        <w:t xml:space="preserve"> sale del diccionario de alias, no se deduce (</w:t>
      </w:r>
      <w:r>
        <w:rPr>
          <w:rFonts w:ascii="Consolas" w:hAnsi="Consolas"/>
          <w:sz w:val="18"/>
        </w:rPr>
        <w:t>RED BULL GMBH</w:t>
      </w:r>
      <w:r>
        <w:t xml:space="preserve"> → </w:t>
      </w:r>
      <w:r>
        <w:rPr>
          <w:rFonts w:ascii="Consolas" w:hAnsi="Consolas"/>
          <w:sz w:val="18"/>
        </w:rPr>
        <w:t>RedBull</w:t>
      </w:r>
      <w:r>
        <w:t xml:space="preserve"> es criterio humano). Si un opositor no está en el diccionario, la columna queda vacía y no pasa nada más. Se puede completar editando </w:t>
      </w:r>
      <w:r>
        <w:rPr>
          <w:rFonts w:ascii="Consolas" w:hAnsi="Consolas"/>
          <w:sz w:val="18"/>
        </w:rPr>
        <w:t>alias.json</w:t>
      </w:r>
      <w:r>
        <w:t xml:space="preserve"> con un editor de texto: es una lista de pares </w:t>
      </w:r>
      <w:r>
        <w:rPr>
          <w:i/>
        </w:rPr>
        <w:t>nombre completo</w:t>
      </w:r>
      <w:r>
        <w:t xml:space="preserve"> → </w:t>
      </w:r>
      <w:r>
        <w:rPr>
          <w:i/>
        </w:rPr>
        <w:t>nombre corto</w:t>
      </w:r>
      <w:r>
        <w:t>.</w:t>
      </w:r>
    </w:p>
    <w:p>
      <w:pPr>
        <w:pStyle w:val="Heading2"/>
      </w:pPr>
      <w:r>
        <w:t>7. Problemas frecuentes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Síntoma</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Qué hacer</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El antivirus borra o bloquea el programa</w:t>
            </w:r>
          </w:p>
        </w:tc>
        <w:tc>
          <w:tcPr>
            <w:tcW w:type="dxa" w:w="4320"/>
            <w:tcBorders>
              <w:top w:val="single" w:sz="4" w:space="0" w:color="000000"/>
              <w:left w:val="single" w:sz="4" w:space="0" w:color="000000"/>
              <w:bottom w:val="single" w:sz="4" w:space="0" w:color="000000"/>
              <w:right w:val="single" w:sz="4" w:space="0" w:color="000000"/>
            </w:tcBorders>
          </w:tcPr>
          <w:p>
            <w:r>
              <w:rPr>
                <w:sz w:val="18"/>
              </w:rPr>
              <w:t>Falso positivo del empaquetado. Pedir a sistemas que añada la carpeta como excepción</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«Windows protegió su PC» (pantalla azul)</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Es la advertencia de programas sin firma. </w:t>
            </w:r>
            <w:r>
              <w:rPr>
                <w:i/>
                <w:sz w:val="18"/>
              </w:rPr>
              <w:t>Más información</w:t>
            </w:r>
            <w:r>
              <w:rPr>
                <w:sz w:val="18"/>
              </w:rPr>
              <w:t xml:space="preserve"> → </w:t>
            </w:r>
            <w:r>
              <w:rPr>
                <w:i/>
                <w:sz w:val="18"/>
              </w:rPr>
              <w:t>Ejecutar de todas formas</w:t>
            </w:r>
            <w:r>
              <w:rPr>
                <w:sz w:val="18"/>
              </w:rPr>
              <w:t>. Solo la primera vez</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«Windows no encuentra el archivo "\"»</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El programa está en una carpeta de red. Copiarlo a </w:t>
            </w:r>
            <w:r>
              <w:rPr>
                <w:rFonts w:ascii="Consolas" w:hAnsi="Consolas"/>
                <w:sz w:val="18"/>
              </w:rPr>
              <w:t>C:</w:t>
            </w:r>
            <w:r>
              <w:rPr>
                <w:sz w:val="18"/>
              </w:rPr>
              <w:t xml:space="preserve"> o a una unidad con letra</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«No se pudo escribir "…xlsx": el archivo está abierto en Excel»</w:t>
            </w:r>
          </w:p>
        </w:tc>
        <w:tc>
          <w:tcPr>
            <w:tcW w:type="dxa" w:w="4320"/>
            <w:tcBorders>
              <w:top w:val="single" w:sz="4" w:space="0" w:color="000000"/>
              <w:left w:val="single" w:sz="4" w:space="0" w:color="000000"/>
              <w:bottom w:val="single" w:sz="4" w:space="0" w:color="000000"/>
              <w:right w:val="single" w:sz="4" w:space="0" w:color="000000"/>
            </w:tcBorders>
          </w:tcPr>
          <w:p>
            <w:r>
              <w:rPr>
                <w:sz w:val="18"/>
              </w:rPr>
              <w:t>Cerrar el Excel de salida y reintentar. El programa no toca un archivo abierto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Muchos errores de red seguidos</w:t>
            </w:r>
          </w:p>
        </w:tc>
        <w:tc>
          <w:tcPr>
            <w:tcW w:type="dxa" w:w="4320"/>
            <w:tcBorders>
              <w:top w:val="single" w:sz="4" w:space="0" w:color="000000"/>
              <w:left w:val="single" w:sz="4" w:space="0" w:color="000000"/>
              <w:bottom w:val="single" w:sz="4" w:space="0" w:color="000000"/>
              <w:right w:val="single" w:sz="4" w:space="0" w:color="000000"/>
            </w:tcBorders>
          </w:tcPr>
          <w:p>
            <w:r>
              <w:rPr>
                <w:sz w:val="18"/>
              </w:rPr>
              <w:t>SIPI está caído o limitando el ritmo. Bajar «Descargas en paralelo» a 2, esperar y relanzar. Si el sitio abre en el navegador pero el programa falla, suele ser un proxy corporativo: no está soportado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 corrida se interrumpió o terminó con errores</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Relanzarla con el mismo Excel y </w:t>
            </w:r>
            <w:r>
              <w:rPr>
                <w:b/>
                <w:sz w:val="18"/>
              </w:rPr>
              <w:t>Reusar PDFs</w:t>
            </w:r>
            <w:r>
              <w:rPr>
                <w:sz w:val="18"/>
              </w:rPr>
              <w:t xml:space="preserve"> marcado. Es normal que la primera pasada deje errores si SIPI está cargado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El Excel tiene más filas que expedientes</w:t>
            </w:r>
          </w:p>
        </w:tc>
        <w:tc>
          <w:tcPr>
            <w:tcW w:type="dxa" w:w="4320"/>
            <w:tcBorders>
              <w:top w:val="single" w:sz="4" w:space="0" w:color="000000"/>
              <w:left w:val="single" w:sz="4" w:space="0" w:color="000000"/>
              <w:bottom w:val="single" w:sz="4" w:space="0" w:color="000000"/>
              <w:right w:val="single" w:sz="4" w:space="0" w:color="000000"/>
            </w:tcBorders>
          </w:tcPr>
          <w:p>
            <w:r>
              <w:rPr>
                <w:sz w:val="18"/>
              </w:rPr>
              <w:t>Es lo esperado: una fila por causal. Ver Una fila por motivo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 columna «Nombre corto» sale vacía</w:t>
            </w:r>
          </w:p>
        </w:tc>
        <w:tc>
          <w:tcPr>
            <w:tcW w:type="dxa" w:w="4320"/>
            <w:tcBorders>
              <w:top w:val="single" w:sz="4" w:space="0" w:color="000000"/>
              <w:left w:val="single" w:sz="4" w:space="0" w:color="000000"/>
              <w:bottom w:val="single" w:sz="4" w:space="0" w:color="000000"/>
              <w:right w:val="single" w:sz="4" w:space="0" w:color="000000"/>
            </w:tcBorders>
          </w:tcPr>
          <w:p>
            <w:r>
              <w:rPr>
                <w:sz w:val="18"/>
              </w:rPr>
              <w:t>Ese opositor no está en el diccionario de alias. Ver la sección anterior</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Tarda demasiado</w:t>
            </w:r>
          </w:p>
        </w:tc>
        <w:tc>
          <w:tcPr>
            <w:tcW w:type="dxa" w:w="4320"/>
            <w:tcBorders>
              <w:top w:val="single" w:sz="4" w:space="0" w:color="000000"/>
              <w:left w:val="single" w:sz="4" w:space="0" w:color="000000"/>
              <w:bottom w:val="single" w:sz="4" w:space="0" w:color="000000"/>
              <w:right w:val="single" w:sz="4" w:space="0" w:color="000000"/>
            </w:tcBorders>
          </w:tcPr>
          <w:p>
            <w:r>
              <w:rPr>
                <w:sz w:val="18"/>
              </w:rPr>
              <w:t>Menos de una hora es lo normal. Si tarda mucho más, el problema es la red: bajar «Descargas en paralelo» a 2</w:t>
            </w:r>
          </w:p>
        </w:tc>
      </w:tr>
    </w:tbl>
    <w:p/>
    <w:p>
      <w:pPr/>
      <w:r>
        <w:t xml:space="preserve">Si hay que reportar un fallo, el archivo de registro de la corrida está en </w:t>
      </w:r>
      <w:r>
        <w:rPr>
          <w:rFonts w:ascii="Consolas" w:hAnsi="Consolas"/>
          <w:sz w:val="18"/>
        </w:rPr>
        <w:t>salida\</w:t>
      </w:r>
      <w:r>
        <w:t xml:space="preserve"> con la fecha y la hora en el nombre: contiene todo lo que ocurrió, incluido el detalle técnico de cada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