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 xml:space="preserve">Common drivers of height development are fundamentally different from those influencing the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en-GB"/>
        </w:rPr>
        <w:t xml:space="preserve">occurrence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of giant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en-GB"/>
        </w:rPr>
        <w:t xml:space="preserve"> tree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 xml:space="preserve">s. 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pt-PT"/>
        </w:rPr>
        <w:t xml:space="preserve">While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maximum tree height across the Brazilian Amazon was related to a large number of environmental variables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pt-PT"/>
        </w:rPr>
        <w:t>, c</w:t>
      </w: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  <w:t>hanges in wind and light availability drive giant tree distribution.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4"/>
          <w:szCs w:val="24"/>
          <w:lang w:val="pt-PT"/>
        </w:rPr>
        <w:drawing>
          <wp:inline distT="0" distB="0" distL="114300" distR="114300">
            <wp:extent cx="5269865" cy="3726815"/>
            <wp:effectExtent l="0" t="0" r="6985" b="6985"/>
            <wp:docPr id="2" name="Picture 2" descr="Fig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CFD5E"/>
    <w:rsid w:val="5BDCFD5E"/>
    <w:rsid w:val="71F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2020-10-26T10:18:00Z</dcterms:created>
  <dc:creator>gorgens</dc:creator>
  <cp:lastModifiedBy>gorgens</cp:lastModifiedBy>
  <dcterms:modified xsi:type="dcterms:W3CDTF">2020-10-26T10:24:44Z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