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Conferência</w:t>
      </w:r>
      <w:r>
        <w:t xml:space="preserve"> </w:t>
      </w:r>
      <w:r>
        <w:t xml:space="preserve">de</w:t>
      </w:r>
      <w:r>
        <w:t xml:space="preserve"> </w:t>
      </w:r>
      <w:r>
        <w:t xml:space="preserve">inventários</w:t>
      </w:r>
      <w:r>
        <w:t xml:space="preserve"> </w:t>
      </w:r>
      <w:r>
        <w:t xml:space="preserve">florestais</w:t>
      </w:r>
      <w:r>
        <w:t xml:space="preserve"> </w:t>
      </w:r>
      <w:r>
        <w:t xml:space="preserve">em</w:t>
      </w:r>
      <w:r>
        <w:t xml:space="preserve"> </w:t>
      </w:r>
      <w:r>
        <w:t xml:space="preserve">campo</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06</w:t>
      </w:r>
      <w:r>
        <w:t xml:space="preserve"> </w:t>
      </w:r>
      <w:r>
        <w:t xml:space="preserve">mar</w:t>
      </w:r>
      <w:r>
        <w:t xml:space="preserve"> </w:t>
      </w:r>
      <w:r>
        <w:t xml:space="preserve">2022</w:t>
      </w:r>
      <w:r>
        <w:t xml:space="preserve"> </w:t>
      </w:r>
      <w:r>
        <w:t xml:space="preserve">19:56:49</w:t>
      </w:r>
      <w:r>
        <w:t xml:space="preserve"> </w:t>
      </w:r>
      <w:r>
        <w:t xml:space="preserve">-03</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5" w:name="intro"/>
    <w:p>
      <w:pPr>
        <w:pStyle w:val="Heading1"/>
      </w:pPr>
      <w:r>
        <w:rPr>
          <w:rStyle w:val="SectionNumber"/>
        </w:rPr>
        <w:t xml:space="preserve">1</w:t>
      </w:r>
      <w:r>
        <w:tab/>
      </w:r>
      <w:r>
        <w:t xml:space="preserve">Introdução</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w:t>
      </w:r>
      <w:r>
        <w:t xml:space="preserve"> </w:t>
      </w:r>
      <w:hyperlink r:id="rId21">
        <w:r>
          <w:rPr>
            <w:rStyle w:val="Hyperlink"/>
          </w:rPr>
          <w:t xml:space="preserve">R Markdown</w:t>
        </w:r>
      </w:hyperlink>
      <w:r>
        <w:t xml:space="preserve">,</w:t>
      </w:r>
      <w:r>
        <w:t xml:space="preserve"> </w:t>
      </w:r>
      <w:hyperlink r:id="rId22">
        <w:r>
          <w:rPr>
            <w:rStyle w:val="Hyperlink"/>
          </w:rPr>
          <w:t xml:space="preserve">Observable</w:t>
        </w:r>
      </w:hyperlink>
      <w:r>
        <w:t xml:space="preserve">, and the</w:t>
      </w:r>
      <w:r>
        <w:t xml:space="preserve"> </w:t>
      </w:r>
      <w:hyperlink r:id="rId23">
        <w:r>
          <w:rPr>
            <w:rStyle w:val="Hyperlink"/>
          </w:rPr>
          <w:t xml:space="preserve">Jupyter Book</w:t>
        </w:r>
      </w:hyperlink>
      <w:r>
        <w:t xml:space="preserve"> </w:t>
      </w:r>
      <w:r>
        <w:t xml:space="preserve">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Cs/>
          <w:b/>
        </w:rPr>
        <w:t xml:space="preserve">06 mar 2022 19:56:51 -03</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Cs/>
          <w:b/>
        </w:rPr>
        <w:t xml:space="preserve">1.3.1</w:t>
      </w:r>
      <w:r>
        <w:t xml:space="preserve">,</w:t>
      </w:r>
      <w:r>
        <w:t xml:space="preserve"> </w:t>
      </w:r>
      <w:r>
        <w:rPr>
          <w:rStyle w:val="VerbatimChar"/>
        </w:rPr>
        <w:t xml:space="preserve">{ggbeeswarm}</w:t>
      </w:r>
      <w:r>
        <w:t xml:space="preserve"> </w:t>
      </w:r>
      <w:r>
        <w:t xml:space="preserve">ver.</w:t>
      </w:r>
      <w:r>
        <w:t xml:space="preserve"> </w:t>
      </w:r>
      <w:r>
        <w:rPr>
          <w:bCs/>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Cs/>
          <w:b/>
        </w:rPr>
        <w:t xml:space="preserve">0.24</w:t>
      </w:r>
      <w:r>
        <w:t xml:space="preserve">.</w:t>
      </w:r>
    </w:p>
    <w:p>
      <w:pPr>
        <w:pStyle w:val="BodyText"/>
      </w:pPr>
      <w:r>
        <w:t xml:space="preserve">In this manuscript, created in RStudio using the R Markdown language, we will demonstrate a more practical example. (An Observable version is</w:t>
      </w:r>
      <w:r>
        <w:t xml:space="preserve"> </w:t>
      </w:r>
      <w:hyperlink r:id="rId24">
        <w:r>
          <w:rPr>
            <w:rStyle w:val="Hyperlink"/>
          </w:rPr>
          <w:t xml:space="preserve">also available</w:t>
        </w:r>
      </w:hyperlink>
      <w:r>
        <w:t xml:space="preserve">.)</w:t>
      </w:r>
    </w:p>
    <w:bookmarkEnd w:id="25"/>
    <w:bookmarkStart w:id="26" w:name="material"/>
    <w:p>
      <w:pPr>
        <w:pStyle w:val="Heading1"/>
      </w:pPr>
      <w:r>
        <w:rPr>
          <w:rStyle w:val="SectionNumber"/>
        </w:rPr>
        <w:t xml:space="preserve">2</w:t>
      </w:r>
      <w:r>
        <w:tab/>
      </w:r>
      <w:r>
        <w:t xml:space="preserve">Material e métodos</w:t>
      </w:r>
    </w:p>
    <w:bookmarkEnd w:id="26"/>
    <w:bookmarkStart w:id="28" w:name="resultados"/>
    <w:p>
      <w:pPr>
        <w:pStyle w:val="Heading1"/>
      </w:pPr>
      <w:r>
        <w:rPr>
          <w:rStyle w:val="SectionNumber"/>
        </w:rPr>
        <w:t xml:space="preserve">3</w:t>
      </w:r>
      <w:r>
        <w:tab/>
      </w:r>
      <w:r>
        <w:t xml:space="preserve">Resultados</w:t>
      </w:r>
    </w:p>
    <w:bookmarkStart w:id="27" w:name="sec:1"/>
    <w:p>
      <w:pPr>
        <w:pStyle w:val="Heading2"/>
      </w:pPr>
      <w:r>
        <w:rPr>
          <w:rStyle w:val="SectionNumber"/>
        </w:rPr>
        <w:t xml:space="preserve">3.1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we could calculate the circumference and area of a circle 10:</w:t>
      </w:r>
    </w:p>
    <w:p>
      <w:pPr>
        <w:pStyle w:val="BodyText"/>
      </w:pPr>
      <m:oMathPara>
        <m:oMathParaPr>
          <m:jc m:val="center"/>
        </m:oMathParaPr>
        <m:oMath>
          <m:r>
            <m:t>A</m:t>
          </m:r>
          <m:r>
            <m:rPr>
              <m:sty m:val="p"/>
            </m:rPr>
            <m:t>=</m:t>
          </m:r>
          <m:r>
            <m:t>π</m:t>
          </m:r>
          <m:sSup>
            <m:e>
              <m:r>
                <m:t>r</m:t>
              </m:r>
            </m:e>
            <m:sup>
              <m:r>
                <m:t>2</m:t>
              </m:r>
            </m:sup>
          </m:sSup>
          <m:r>
            <m:rPr>
              <m:sty m:val="p"/>
            </m:rPr>
            <m:t>,</m:t>
          </m:r>
          <m:r>
            <m:t>C</m:t>
          </m:r>
          <m:r>
            <m:rPr>
              <m:sty m:val="p"/>
            </m:rPr>
            <m:t>=</m:t>
          </m:r>
          <m:r>
            <m:t>2</m:t>
          </m:r>
          <m:r>
            <m:t>π</m:t>
          </m:r>
          <m:r>
            <m:t>r</m:t>
          </m:r>
        </m:oMath>
      </m:oMathPara>
    </w:p>
    <w:bookmarkEnd w:id="27"/>
    <w:bookmarkEnd w:id="28"/>
    <w:bookmarkStart w:id="29" w:name="resultados"/>
    <w:p>
      <w:pPr>
        <w:pStyle w:val="Heading1"/>
      </w:pPr>
      <w:r>
        <w:rPr>
          <w:rStyle w:val="SectionNumber"/>
        </w:rPr>
        <w:t xml:space="preserve">4</w:t>
      </w:r>
      <w:r>
        <w:tab/>
      </w:r>
      <w:r>
        <w:t xml:space="preserve">Resultados</w:t>
      </w:r>
    </w:p>
    <w:p>
      <w:pPr>
        <w:pStyle w:val="FirstParagraph"/>
      </w:pPr>
      <w:r>
        <w:t xml:space="preserve">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Plugging in the radius</w:t>
      </w:r>
      <w:r>
        <w:t xml:space="preserve"> </w:t>
      </w:r>
      <w:r>
        <w:rPr>
          <w:iCs/>
          <w:i/>
        </w:rPr>
        <w:t xml:space="preserve">r</w:t>
      </w:r>
      <w:r>
        <w:t xml:space="preserve"> </w:t>
      </w:r>
      <w:r>
        <w:t xml:space="preserve">=</w:t>
      </w:r>
      <w:r>
        <w:t xml:space="preserve"> </w:t>
      </w:r>
      <w:r>
        <w:rPr>
          <w:bCs/>
          <w:b/>
        </w:rPr>
        <w:t xml:space="preserve">10</w:t>
      </w:r>
      <w:r>
        <w:t xml:space="preserve">, that evaluates to</w:t>
      </w:r>
      <w:r>
        <w:t xml:space="preserve"> </w:t>
      </w:r>
      <w:r>
        <w:t xml:space="preserve">“</w:t>
      </w:r>
      <w:r>
        <w:t xml:space="preserve">A =</w:t>
      </w:r>
      <w:r>
        <w:t xml:space="preserve"> </w:t>
      </w:r>
      <w:r>
        <w:rPr>
          <w:bCs/>
          <w:b/>
        </w:rPr>
        <w:t xml:space="preserve">314.16</w:t>
      </w:r>
      <w:r>
        <w:t xml:space="preserve"> </w:t>
      </w:r>
      <w:r>
        <w:t xml:space="preserve">and C =</w:t>
      </w:r>
      <w:r>
        <w:t xml:space="preserve"> </w:t>
      </w:r>
      <w:r>
        <w:rPr>
          <w:bCs/>
          <w:b/>
        </w:rPr>
        <w:t xml:space="preserve">62.83</w:t>
      </w:r>
      <w:r>
        <w:t xml:space="preserve">”</w:t>
      </w:r>
      <w:r>
        <w:t xml:space="preserve">.</w:t>
      </w:r>
    </w:p>
    <w:bookmarkEnd w:id="29"/>
    <w:bookmarkStart w:id="36" w:name="references"/>
    <w:p>
      <w:pPr>
        <w:pStyle w:val="Heading1"/>
      </w:pPr>
      <w:r>
        <w:t xml:space="preserve">References</w:t>
      </w:r>
    </w:p>
    <w:bookmarkStart w:id="35" w:name="refs"/>
    <w:bookmarkStart w:id="30" w:name="ref-shen2014"/>
    <w:p>
      <w:pPr>
        <w:pStyle w:val="Bibliography"/>
      </w:pPr>
      <w:r>
        <w:t xml:space="preserve">1.</w:t>
      </w:r>
      <w:r>
        <w:t xml:space="preserve"> </w:t>
      </w:r>
      <w:r>
        <w:t xml:space="preserve">	</w:t>
      </w:r>
      <w:r>
        <w:t xml:space="preserve">Shen, H. Interactive notebooks: Sharing the code.</w:t>
      </w:r>
      <w:r>
        <w:t xml:space="preserve"> </w:t>
      </w:r>
      <w:r>
        <w:rPr>
          <w:iCs/>
          <w:i/>
        </w:rPr>
        <w:t xml:space="preserve">Nature</w:t>
      </w:r>
      <w:r>
        <w:t xml:space="preserve"> </w:t>
      </w:r>
      <w:r>
        <w:rPr>
          <w:bCs/>
          <w:b/>
        </w:rPr>
        <w:t xml:space="preserve">515</w:t>
      </w:r>
      <w:r>
        <w:t xml:space="preserve">, 151–152 (2014).</w:t>
      </w:r>
    </w:p>
    <w:bookmarkEnd w:id="30"/>
    <w:bookmarkStart w:id="31" w:name="ref-perkel2018a"/>
    <w:p>
      <w:pPr>
        <w:pStyle w:val="Bibliography"/>
      </w:pPr>
      <w:r>
        <w:t xml:space="preserve">2.</w:t>
      </w:r>
      <w:r>
        <w:t xml:space="preserve"> </w:t>
      </w:r>
      <w:r>
        <w:t xml:space="preserve">	</w:t>
      </w:r>
      <w:r>
        <w:t xml:space="preserve">Perkel, J. M. A toolkit for data transparency takes shape.</w:t>
      </w:r>
      <w:r>
        <w:t xml:space="preserve"> </w:t>
      </w:r>
      <w:r>
        <w:rPr>
          <w:iCs/>
          <w:i/>
        </w:rPr>
        <w:t xml:space="preserve">Nature</w:t>
      </w:r>
      <w:r>
        <w:t xml:space="preserve"> </w:t>
      </w:r>
      <w:r>
        <w:rPr>
          <w:bCs/>
          <w:b/>
        </w:rPr>
        <w:t xml:space="preserve">560</w:t>
      </w:r>
      <w:r>
        <w:t xml:space="preserve">, 513–515 (2018).</w:t>
      </w:r>
    </w:p>
    <w:bookmarkEnd w:id="31"/>
    <w:bookmarkStart w:id="32"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Cs/>
          <w:i/>
        </w:rPr>
        <w:t xml:space="preserve">Nature</w:t>
      </w:r>
      <w:r>
        <w:t xml:space="preserve"> </w:t>
      </w:r>
      <w:r>
        <w:rPr>
          <w:bCs/>
          <w:b/>
        </w:rPr>
        <w:t xml:space="preserve">563</w:t>
      </w:r>
      <w:r>
        <w:t xml:space="preserve">, 145–146 (2018).</w:t>
      </w:r>
    </w:p>
    <w:bookmarkEnd w:id="32"/>
    <w:bookmarkStart w:id="33"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Cs/>
          <w:i/>
        </w:rPr>
        <w:t xml:space="preserve">Nature</w:t>
      </w:r>
      <w:r>
        <w:t xml:space="preserve"> </w:t>
      </w:r>
      <w:r>
        <w:rPr>
          <w:bCs/>
          <w:b/>
        </w:rPr>
        <w:t xml:space="preserve">585</w:t>
      </w:r>
      <w:r>
        <w:t xml:space="preserve">, 149–150 (2020).</w:t>
      </w:r>
    </w:p>
    <w:bookmarkEnd w:id="33"/>
    <w:bookmarkStart w:id="34"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Cs/>
          <w:i/>
        </w:rPr>
        <w:t xml:space="preserve">Nature</w:t>
      </w:r>
      <w:r>
        <w:t xml:space="preserve"> </w:t>
      </w:r>
      <w:r>
        <w:rPr>
          <w:bCs/>
          <w:b/>
        </w:rPr>
        <w:t xml:space="preserve">593</w:t>
      </w:r>
      <w:r>
        <w:t xml:space="preserve">, 156–157 (2021).</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jupyterbook.org/intro.html" TargetMode="External" /><Relationship Type="http://schemas.openxmlformats.org/officeDocument/2006/relationships/hyperlink" Id="rId24" Target="https://observablehq.com/@jperkel/example-executable-observable-notebook"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_rels/footnotes.xml.rels><?xml version="1.0" encoding="UTF-8"?><Relationships xmlns="http://schemas.openxmlformats.org/package/2006/relationships"><Relationship Type="http://schemas.openxmlformats.org/officeDocument/2006/relationships/hyperlink" Id="rId23" Target="https://jupyterbook.org/intro.html" TargetMode="External" /><Relationship Type="http://schemas.openxmlformats.org/officeDocument/2006/relationships/hyperlink" Id="rId24" Target="https://observablehq.com/@jperkel/example-executable-observable-notebook"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Conferência de inventários florestais em campo</dc:title>
  <dc:creator>Jeffrey M. Perkel, Technology Editor, Nature</dc:creator>
  <cp:keywords/>
  <dcterms:created xsi:type="dcterms:W3CDTF">2022-03-06T22:56:55Z</dcterms:created>
  <dcterms:modified xsi:type="dcterms:W3CDTF">2022-03-06T22:56:55Z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bibliografia.bib</vt:lpwstr>
  </property>
  <property fmtid="{D5CDD505-2E9C-101B-9397-08002B2CF9AE}" pid="6" name="csl">
    <vt:lpwstr>nature.csl</vt:lpwstr>
  </property>
  <property fmtid="{D5CDD505-2E9C-101B-9397-08002B2CF9AE}" pid="7" name="date">
    <vt:lpwstr>06 mar 2022 19:56:49 -03</vt:lpwstr>
  </property>
  <property fmtid="{D5CDD505-2E9C-101B-9397-08002B2CF9AE}" pid="8" name="output">
    <vt:lpwstr/>
  </property>
  <property fmtid="{D5CDD505-2E9C-101B-9397-08002B2CF9AE}" pid="9" name="subtitle">
    <vt:lpwstr/>
  </property>
  <property fmtid="{D5CDD505-2E9C-101B-9397-08002B2CF9AE}" pid="10" name="titlerunning">
    <vt:lpwstr>Conferência 10%</vt:lpwstr>
  </property>
</Properties>
</file>