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Conferência</w:t>
      </w:r>
      <w:r>
        <w:t xml:space="preserve"> </w:t>
      </w:r>
      <w:r>
        <w:t xml:space="preserve">de</w:t>
      </w:r>
      <w:r>
        <w:t xml:space="preserve"> </w:t>
      </w:r>
      <w:r>
        <w:t xml:space="preserve">inventários</w:t>
      </w:r>
      <w:r>
        <w:t xml:space="preserve"> </w:t>
      </w:r>
      <w:r>
        <w:t xml:space="preserve">florestais</w:t>
      </w:r>
      <w:r>
        <w:t xml:space="preserve"> </w:t>
      </w:r>
      <w:r>
        <w:t xml:space="preserve">em</w:t>
      </w:r>
      <w:r>
        <w:t xml:space="preserve"> </w:t>
      </w:r>
      <w:r>
        <w:t xml:space="preserve">campo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B.</w:t>
      </w:r>
      <w:r>
        <w:t xml:space="preserve"> </w:t>
      </w:r>
      <w:r>
        <w:t xml:space="preserve">Gorgens,</w:t>
      </w:r>
      <w:r>
        <w:t xml:space="preserve"> </w:t>
      </w:r>
      <w:r>
        <w:t xml:space="preserve">UFVJM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mar</w:t>
      </w:r>
      <w:r>
        <w:t xml:space="preserve"> </w:t>
      </w:r>
      <w:r>
        <w:t xml:space="preserve">2022</w:t>
      </w:r>
      <w:r>
        <w:t xml:space="preserve"> </w:t>
      </w:r>
      <w:r>
        <w:t xml:space="preserve">13:37:56</w:t>
      </w:r>
      <w:r>
        <w:t xml:space="preserve"> </w:t>
      </w:r>
      <w:r>
        <w:t xml:space="preserve">-03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computed</w:t>
      </w:r>
      <w:r>
        <w:t xml:space="preserve"> </w:t>
      </w:r>
      <w:r>
        <w:t xml:space="preserve">manuscript</w:t>
      </w:r>
      <w:r>
        <w:t xml:space="preserve"> </w:t>
      </w:r>
      <w:r>
        <w:t xml:space="preserve">created</w:t>
      </w:r>
      <w:r>
        <w:t xml:space="preserve"> </w:t>
      </w:r>
      <w:r>
        <w:t xml:space="preserve">in</w:t>
      </w:r>
      <w:r>
        <w:t xml:space="preserve"> </w:t>
      </w:r>
      <w:r>
        <w:t xml:space="preserve">RStudio</w:t>
      </w:r>
      <w:r>
        <w:t xml:space="preserve"> </w:t>
      </w:r>
      <w:r>
        <w:t xml:space="preserve">using</w:t>
      </w:r>
      <w:r>
        <w:t xml:space="preserve"> </w:t>
      </w:r>
      <w:r>
        <w:t xml:space="preserve">{Rmarkdown}.</w:t>
      </w:r>
      <w:r>
        <w:t xml:space="preserve"> </w:t>
      </w:r>
      <w:r>
        <w:t xml:space="preserve">The</w:t>
      </w:r>
      <w:r>
        <w:t xml:space="preserve"> </w:t>
      </w:r>
      <w:r>
        <w:t xml:space="preserve">{Bookdown}</w:t>
      </w:r>
      <w:r>
        <w:t xml:space="preserve"> </w:t>
      </w:r>
      <w:r>
        <w:t xml:space="preserve">and</w:t>
      </w:r>
      <w:r>
        <w:t xml:space="preserve"> </w:t>
      </w:r>
      <w:r>
        <w:t xml:space="preserve">{Rticles}</w:t>
      </w:r>
      <w:r>
        <w:t xml:space="preserve"> </w:t>
      </w:r>
      <w:r>
        <w:t xml:space="preserve">packages</w:t>
      </w:r>
      <w:r>
        <w:t xml:space="preserve"> </w:t>
      </w:r>
      <w:r>
        <w:t xml:space="preserve">were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output</w:t>
      </w:r>
      <w:r>
        <w:t xml:space="preserve"> </w:t>
      </w:r>
      <w:r>
        <w:t xml:space="preserve">the</w:t>
      </w:r>
      <w:r>
        <w:t xml:space="preserve"> </w:t>
      </w:r>
      <w:r>
        <w:t xml:space="preserve">text</w:t>
      </w:r>
      <w:r>
        <w:t xml:space="preserve"> </w:t>
      </w:r>
      <w:r>
        <w:t xml:space="preserve">in</w:t>
      </w:r>
      <w:r>
        <w:t xml:space="preserve"> </w:t>
      </w:r>
      <w:r>
        <w:t xml:space="preserve">Springer</w:t>
      </w:r>
      <w:r>
        <w:t xml:space="preserve"> </w:t>
      </w:r>
      <w:r>
        <w:t xml:space="preserve">Nature’s</w:t>
      </w:r>
      <w:r>
        <w:t xml:space="preserve"> </w:t>
      </w:r>
      <w:r>
        <w:t xml:space="preserve">desired</w:t>
      </w:r>
      <w:r>
        <w:t xml:space="preserve"> </w:t>
      </w:r>
      <w:r>
        <w:t xml:space="preserve">manuscript</w:t>
      </w:r>
      <w:r>
        <w:t xml:space="preserve"> </w:t>
      </w:r>
      <w:r>
        <w:t xml:space="preserve">format.</w:t>
      </w:r>
    </w:p>
    <w:bookmarkStart w:id="20" w:name="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O Brasil possui uma das legislações ambientais mais completas do mundo (CHIAVARI; LOPES, 2017). A Constituição Federal de 1988 estabeleceu regras de competência comuns e concorrentes em relação ao meio ambiente e entes federativos, em seus artigos 22, 23 e 24 (BRASIL, 1988). Como resultado, estados e municípios podem legislar sobre situações mais pontuais, com a cautela de ser subordinada hierarquicamente aos regramentos concorrentes. A não observação deste cuidado pode tornar a lei ou parte dela, inconstitucional.</w:t>
      </w:r>
    </w:p>
    <w:p>
      <w:pPr>
        <w:pStyle w:val="BodyText"/>
      </w:pPr>
      <w:r>
        <w:t xml:space="preserve">Para garantir um bom funcionamento de um regramento este deve ser construído baseado na racionalidade. A racionalidade se materializa no uso de instrumentos mais eficientes que garantam que as metas sejam atingidas. Previsibilidade é uma característica essencial de um bom regramento. A previsibilidade é uma forma de garantir que se as rotinas foram realizadas metodicamente, maior será sua confiabilidade e resultados semelhantes serão obtidos, independente de quem as requer ou implemente. Espera-se ainda que o regramento seja eficiente, visando a redução de erros e de custos, das partes envolvidas (ARAGÃO, 1997). Um regramento racional e previsível torna a tramitação eficiente e eficaz, garantindo rapidez, racionalidade, homogeneidade na interpretação das normas, redução dos atritos ou discriminações e padronização. No entanto, há sempre consequências imprevistas pelo legislador que acabam resultando em ineficiências e imperfeições. Dentre as imperfeições mais comuns, tem-se o apego excessivo aos regulamentos, o excesso de formalismo e de papelório, a resistência a mudanças, a dificuldade no atendimento a clientes e os conflitos com o público (CHIAVENATO 2003).</w:t>
      </w:r>
    </w:p>
    <w:p>
      <w:pPr>
        <w:pStyle w:val="BodyText"/>
      </w:pPr>
      <w:r>
        <w:t xml:space="preserve">Um dos objetivos da competência concorrente é contornar a dificuldade de se criar uma legislação ambiental padronizada e linear, ao nível federal (NEUMANN; LOCH, 2002). É extremamente difícil construir uma legislação que dê tratamento coerente às peculiaridades dos distintos ambientes de um país com grande diversidade de biomas como o Brasil. Desta forma, assume-se que as especificidades regionais serão melhor normatizadas pelos estados e municípios por normas suplementares.</w:t>
      </w:r>
    </w:p>
    <w:p>
      <w:pPr>
        <w:pStyle w:val="BodyText"/>
      </w:pPr>
      <w:r>
        <w:t xml:space="preserve">A intervenção ambiental deve seguir as diretrizes presentes na lei nº 12.651 de 2012 e ainda se atentar para normas específicas dos estados e municípios. Ela é um termo usado na legislação ambiental e pode ser definido como qualquer intervenção sobre a cobertura vegetal nativa ou sobre área de uso restrito, ainda que não implique em supressão de vegetação (MINAS GERAIS, 2019). De forma geral, o processo para solicitação de intervenção ambiental tem como um dos documentos obrigatórios a apresentação de um Inventário Florestal, na hipótese de supressão de vegetação nativa sob regime jurídico específico, ou em quaisquer vegetações com cobertura superior ou igual a dez hectares. O documento deve atender a certos requisitos como: erro de amostragem máximo de 10% da média do volume para uma probabilidade de 90% de confiança e validade de 3 anos (MINAS GERAIS, 2013).</w:t>
      </w:r>
    </w:p>
    <w:p>
      <w:pPr>
        <w:pStyle w:val="BodyText"/>
      </w:pPr>
      <w:r>
        <w:t xml:space="preserve">Cada estado avançou de forma independente quanto aos procedimentos para fiscalização, conferência e validação destes inventários. O Estado de Minas Gerais definiu com Portaria IEF 172/2007 a obrigatoriedade da conferência dos inventários florestais de processos de supressão de vegetação natural para uso alternativo do solo. Atualmente, o escopo da conferência foi expandido para inventários associados a processos de áreas revestidas com qualquer tipologia vegetal nativa primária ou secundária em estágio médio, ou avançado de regeneração suscetíveis de corte, supressão e exploração. A análise do inventário florestal deve ser precedida de vistoria técnica, durante a qual conferem-se no mínimo 10% das parcelas e no mínimo três parcelas por estrato de amostragem definidos no inventário florestal.</w:t>
      </w:r>
    </w:p>
    <w:p>
      <w:pPr>
        <w:pStyle w:val="BodyText"/>
      </w:pPr>
      <w:r>
        <w:t xml:space="preserve">Durante a vistoria técnica, o agente de fiscalização sorteia 10% das parcelas presentes no inventário protocolado (assegurando o de mínimo três parcelas). A vistoria é realizada tendo como acompanhante um representante do empreendimento. Os dados do inventário protocolado são comparados com os valores conferidos em campo, permitindo o cálculo do desvio. Os desvios, seja ao nível de parcela, seja ao nível de árvore, podem ser descritos por uma distribuição contendo média e desvio padrão. O objetivo deste artigo é analisar a sensibilidade de diferentes abordagens estatísticas para analisar o inventário protocolado a partir do percentual vistoriado.</w:t>
      </w:r>
    </w:p>
    <w:bookmarkEnd w:id="20"/>
    <w:bookmarkStart w:id="21" w:name="materi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 e métodos</w:t>
      </w:r>
    </w:p>
    <w:bookmarkEnd w:id="21"/>
    <w:bookmarkStart w:id="22" w:name="resultado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Resultados</w:t>
      </w:r>
    </w:p>
    <w:p>
      <w:pPr>
        <w:pStyle w:val="FirstParagraph"/>
      </w:pPr>
      <w:r>
        <w:t xml:space="preserve">Imagine we are analyzing data from a clinical trial. We have grouped subjects in three bins and measured the concentration of some metabolite. (These data are simulated.)</w:t>
      </w:r>
    </w:p>
    <w:p>
      <w:pPr>
        <w:pStyle w:val="BodyText"/>
      </w:pPr>
      <w:r>
        <w:t xml:space="preserve">Rather than analyzing those data and then copying the results into our manuscript, we can use the programming language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do that in the manuscript itself. Simply enclose the code inside backticks, with the letter</w:t>
      </w:r>
      <w:r>
        <w:t xml:space="preserve"> </w:t>
      </w:r>
      <w:r>
        <w:rPr>
          <w:rStyle w:val="VerbatimChar"/>
        </w:rPr>
        <w:t xml:space="preserve">r</w:t>
      </w:r>
      <w:r>
        <w:t xml:space="preserve">. For instance, we could calculate the circumference and area of a circle 10: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π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=</m:t>
          </m:r>
          <m:r>
            <m:t>2</m:t>
          </m:r>
          <m:r>
            <m:t>π</m:t>
          </m:r>
          <m:r>
            <m:t>r</m:t>
          </m:r>
        </m:oMath>
      </m:oMathPara>
    </w:p>
    <w:bookmarkEnd w:id="22"/>
    <w:bookmarkStart w:id="23" w:name="discussa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Discussão</w:t>
      </w:r>
    </w:p>
    <w:p>
      <w:pPr>
        <w:pStyle w:val="FirstParagraph"/>
      </w:pPr>
      <w:r>
        <w:t xml:space="preserve">You could write “A =</w:t>
      </w:r>
      <w:r>
        <w:t xml:space="preserve"> </w:t>
      </w:r>
      <w:r>
        <w:rPr>
          <w:rStyle w:val="VerbatimChar"/>
        </w:rPr>
        <w:t xml:space="preserve">`r pi * r^2`</w:t>
      </w:r>
      <w:r>
        <w:t xml:space="preserve"> </w:t>
      </w:r>
      <w:r>
        <w:t xml:space="preserve">and C = `</w:t>
      </w:r>
      <w:r>
        <w:t xml:space="preserve">r</w:t>
      </w:r>
    </w:p>
    <w:bookmarkEnd w:id="23"/>
    <w:bookmarkStart w:id="24" w:name="conclusa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pPr>
        <w:pStyle w:val="FirstParagraph"/>
      </w:pPr>
      <w:r>
        <w:t xml:space="preserve">2 * pi * r` ``</w:t>
      </w:r>
      <w:r>
        <w:t xml:space="preserve">“</w:t>
      </w:r>
      <w:r>
        <w:t xml:space="preserve">. Plugging in the radius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10</w:t>
      </w:r>
      <w:r>
        <w:t xml:space="preserve">, that evaluates to</w:t>
      </w:r>
      <w:r>
        <w:t xml:space="preserve">”</w:t>
      </w:r>
      <w:r>
        <w:t xml:space="preserve">A =</w:t>
      </w:r>
      <w:r>
        <w:t xml:space="preserve"> </w:t>
      </w:r>
      <w:r>
        <w:rPr>
          <w:bCs/>
          <w:b/>
        </w:rPr>
        <w:t xml:space="preserve">314.16</w:t>
      </w:r>
      <w:r>
        <w:t xml:space="preserve"> </w:t>
      </w:r>
      <w:r>
        <w:t xml:space="preserve">and C =</w:t>
      </w:r>
      <w:r>
        <w:t xml:space="preserve"> </w:t>
      </w:r>
      <w:r>
        <w:rPr>
          <w:bCs/>
          <w:b/>
        </w:rPr>
        <w:t xml:space="preserve">62.83</w:t>
      </w:r>
      <w:r>
        <w:t xml:space="preserve">”.</w:t>
      </w:r>
    </w:p>
    <w:bookmarkEnd w:id="24"/>
    <w:bookmarkStart w:id="25" w:name="referenc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Conferência de inventários florestais em campo</dc:title>
  <dc:creator>Eric B. Gorgens, UFVJM</dc:creator>
  <cp:keywords/>
  <dcterms:created xsi:type="dcterms:W3CDTF">2022-03-07T16:38:04Z</dcterms:created>
  <dcterms:modified xsi:type="dcterms:W3CDTF">2022-03-07T16:38:04Z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mock computed manuscript created in RStudio using {Rmarkdown}. The {Bookdown} and {Rticles} packages were used to output the text in Springer Nature’s desired manuscript format.</vt:lpwstr>
  </property>
  <property fmtid="{D5CDD505-2E9C-101B-9397-08002B2CF9AE}" pid="3" name="authors">
    <vt:lpwstr/>
  </property>
  <property fmtid="{D5CDD505-2E9C-101B-9397-08002B2CF9AE}" pid="4" name="biblio-style">
    <vt:lpwstr>spbasic</vt:lpwstr>
  </property>
  <property fmtid="{D5CDD505-2E9C-101B-9397-08002B2CF9AE}" pid="5" name="bibliography">
    <vt:lpwstr>bibliografia.bib</vt:lpwstr>
  </property>
  <property fmtid="{D5CDD505-2E9C-101B-9397-08002B2CF9AE}" pid="6" name="csl">
    <vt:lpwstr>nature.csl</vt:lpwstr>
  </property>
  <property fmtid="{D5CDD505-2E9C-101B-9397-08002B2CF9AE}" pid="7" name="date">
    <vt:lpwstr>07 mar 2022 13:37:56 -03</vt:lpwstr>
  </property>
  <property fmtid="{D5CDD505-2E9C-101B-9397-08002B2CF9AE}" pid="8" name="output">
    <vt:lpwstr/>
  </property>
  <property fmtid="{D5CDD505-2E9C-101B-9397-08002B2CF9AE}" pid="9" name="subtitle">
    <vt:lpwstr/>
  </property>
  <property fmtid="{D5CDD505-2E9C-101B-9397-08002B2CF9AE}" pid="10" name="titlerunning">
    <vt:lpwstr>Conferência 10%</vt:lpwstr>
  </property>
</Properties>
</file>