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re"/>
      </w:pPr>
      <w:r>
        <w:t xml:space="preserve">Procès-verbal de l'assemblée générale de copropriété 2026</w:t>
      </w:r>
    </w:p>
    <w:p>
      <w:pPr>
        <w:pStyle w:val="Titre1"/>
      </w:pPr>
      <w:r>
        <w:t xml:space="preserve">Résidence Les Lilas — assemblée générale du 9 février 2026</w:t>
      </w:r>
    </w:p>
    <w:p>
      <w:r>
        <w:t xml:space="preserve">Présents ou représentés : 18 copropriétaires sur 24, soit 812 tantièmes sur 1 000.</w:t>
      </w:r>
    </w:p>
    <w:p>
      <w:pPr>
        <w:pStyle w:val="Titre1"/>
      </w:pPr>
      <w:r>
        <w:t xml:space="preserve">Résolution 5 : ravalement de la façade</w:t>
      </w:r>
    </w:p>
    <w:p>
      <w:r>
        <w:t xml:space="preserve">L'assemblée approuve le ravalement de la façade sur rue pour un montant total de 42 000 euros, confié à l'entreprise Façades Rhône. Les travaux commenceront en juin 2026 pour une durée de dix semaines.</w:t>
      </w:r>
    </w:p>
    <w:p>
      <w:r>
        <w:t xml:space="preserve">La quote-part du lot 14 (appartement du deuxième étage) s'élève à 1 260 euros, appelée en deux fois, en mai et en septembre 2026.</w:t>
      </w:r>
    </w:p>
    <w:p>
      <w:pPr>
        <w:pStyle w:val="Titre1"/>
      </w:pPr>
      <w:r>
        <w:t xml:space="preserve">Résolution 7 : local à vélos</w:t>
      </w:r>
    </w:p>
    <w:p>
      <w:r>
        <w:t xml:space="preserve">La création d'un local à vélos sécurisé est refusée, faute de majorité.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Procès-verbal de l'assemblée générale de copropriété 2026</dc:title>
</cp:coreProperties>
</file>