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Osadka — Справка</w:t>
      </w:r>
    </w:p>
    <w:p>
      <w:pPr>
        <w:jc w:val="center"/>
      </w:pPr>
      <w:r>
        <w:rPr>
          <w:color w:val="666666"/>
          <w:sz w:val="24"/>
        </w:rPr>
        <w:t>Программа для обработки данных геодезического мониторинга осадок зданий и сооружений</w:t>
      </w:r>
    </w:p>
    <w:p>
      <w:pPr>
        <w:pStyle w:val="Heading1"/>
      </w:pPr>
      <w:r>
        <w:t>Системные требования</w:t>
      </w:r>
    </w:p>
    <w:p>
      <w:pPr>
        <w:pStyle w:val="ListBullet"/>
      </w:pPr>
      <w:r>
        <w:t>Windows 10 или новее</w:t>
      </w:r>
    </w:p>
    <w:p>
      <w:pPr>
        <w:pStyle w:val="ListBullet"/>
      </w:pPr>
      <w:r>
        <w:t>Microsoft Excel 2016+ (нужен только для экспорта графиков; остальные отчёты работают без Excel)</w:t>
      </w:r>
    </w:p>
    <w:p>
      <w:pPr>
        <w:pStyle w:val="Heading1"/>
      </w:pPr>
      <w:r>
        <w:t>Быстрый старт</w:t>
      </w:r>
    </w:p>
    <w:p>
      <w:r>
        <w:t>Типичный сценарий работы занимает 3 шага:</w:t>
      </w:r>
    </w:p>
    <w:p>
      <w:pPr>
        <w:pStyle w:val="ListNumber"/>
      </w:pPr>
      <w:r>
        <w:rPr>
          <w:b/>
        </w:rPr>
        <w:t>Загрузить данные.</w:t>
      </w:r>
      <w:r>
        <w:t xml:space="preserve"> На странице «Исходные данные» нажмите </w:t>
      </w:r>
      <w:r>
        <w:rPr>
          <w:b/>
        </w:rPr>
        <w:t>Загрузить Excel</w:t>
      </w:r>
      <w:r>
        <w:t xml:space="preserve"> и выберите файл с результатами нивелирования. В диалоге укажите нужный лист, объект и цикл.</w:t>
      </w:r>
    </w:p>
    <w:p>
      <w:pPr>
        <w:pStyle w:val="ListNumber"/>
      </w:pPr>
      <w:r>
        <w:rPr>
          <w:b/>
        </w:rPr>
        <w:t>Задать координаты марок.</w:t>
      </w:r>
      <w:r>
        <w:t xml:space="preserve"> Скопируйте столбцы X и Y в таблицу координат, либо откройте чертёж (DWG/DXF) на вкладке «Открыть чертёж» и расставьте точки прямо на плане.</w:t>
      </w:r>
    </w:p>
    <w:p>
      <w:pPr>
        <w:pStyle w:val="ListNumber"/>
      </w:pPr>
      <w:r>
        <w:rPr>
          <w:b/>
        </w:rPr>
        <w:t>Создать отчёт.</w:t>
      </w:r>
      <w:r>
        <w:t xml:space="preserve"> Отметьте галочками нужные разделы (Общий / Отн. / Графики) и нажмите </w:t>
      </w:r>
      <w:r>
        <w:rPr>
          <w:b/>
        </w:rPr>
        <w:t>Создать отчёт</w:t>
      </w:r>
      <w:r>
        <w:t>. Программа сформирует Excel-файл по шаблону.</w:t>
      </w:r>
    </w:p>
    <w:p>
      <w:pPr>
        <w:pStyle w:val="Heading1"/>
      </w:pPr>
      <w:r>
        <w:t>Окно программы</w:t>
      </w:r>
    </w:p>
    <w:p>
      <w:r>
        <w:t>Интерфейс состоит из двух частей: слева — навигационная панель с кнопкой экспорта и переключателями страниц, справа — рабочая область текущей страницы.</w:t>
      </w:r>
    </w:p>
    <w:p>
      <w:pPr>
        <w:pStyle w:val="Heading2"/>
      </w:pPr>
      <w:r>
        <w:t>Навигация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2"/>
        <w:gridCol w:w="6803"/>
      </w:tblGrid>
      <w:tr>
        <w:tc>
          <w:tcPr>
            <w:tcW w:type="dxa" w:w="4320"/>
          </w:tcPr>
          <w:p>
            <w:r>
              <w:t>Страница</w:t>
            </w:r>
          </w:p>
        </w:tc>
        <w:tc>
          <w:tcPr>
            <w:tcW w:type="dxa" w:w="4320"/>
          </w:tcPr>
          <w:p>
            <w:r>
              <w:t>Для чего</w:t>
            </w:r>
          </w:p>
        </w:tc>
      </w:tr>
      <w:tr>
        <w:tc>
          <w:tcPr>
            <w:tcW w:type="dxa" w:w="4320"/>
          </w:tcPr>
          <w:p>
            <w:r>
              <w:t>Исходные данные</w:t>
            </w:r>
          </w:p>
        </w:tc>
        <w:tc>
          <w:tcPr>
            <w:tcW w:type="dxa" w:w="4320"/>
          </w:tcPr>
          <w:p>
            <w:r>
              <w:t>Импорт из Excel, ввод предельных значений, таблица координат марок</w:t>
            </w:r>
          </w:p>
        </w:tc>
      </w:tr>
      <w:tr>
        <w:tc>
          <w:tcPr>
            <w:tcW w:type="dxa" w:w="4320"/>
          </w:tcPr>
          <w:p>
            <w:r>
              <w:t>Общий отчёт</w:t>
            </w:r>
          </w:p>
        </w:tc>
        <w:tc>
          <w:tcPr>
            <w:tcW w:type="dxa" w:w="4320"/>
          </w:tcPr>
          <w:p>
            <w:r>
              <w:t>Сводка: экстремумы, средние значения, статусы точек, превышения предельных осадок</w:t>
            </w:r>
          </w:p>
        </w:tc>
      </w:tr>
      <w:tr>
        <w:tc>
          <w:tcPr>
            <w:tcW w:type="dxa" w:w="4320"/>
          </w:tcPr>
          <w:p>
            <w:r>
              <w:t>Отчёт разности осадок</w:t>
            </w:r>
          </w:p>
        </w:tc>
        <w:tc>
          <w:tcPr>
            <w:tcW w:type="dxa" w:w="4320"/>
          </w:tcPr>
          <w:p>
            <w:r>
              <w:t>Таблица попарных относительных осадок ΔS/L для всех пар марок</w:t>
            </w:r>
          </w:p>
        </w:tc>
      </w:tr>
      <w:tr>
        <w:tc>
          <w:tcPr>
            <w:tcW w:type="dxa" w:w="4320"/>
          </w:tcPr>
          <w:p>
            <w:r>
              <w:t>Динамика общей осадки</w:t>
            </w:r>
          </w:p>
        </w:tc>
        <w:tc>
          <w:tcPr>
            <w:tcW w:type="dxa" w:w="4320"/>
          </w:tcPr>
          <w:p>
            <w:r>
              <w:t>График изменения суммарной осадки по циклам для каждой марки</w:t>
            </w:r>
          </w:p>
        </w:tc>
      </w:tr>
      <w:tr>
        <w:tc>
          <w:tcPr>
            <w:tcW w:type="dxa" w:w="4320"/>
          </w:tcPr>
          <w:p>
            <w:r>
              <w:t>Открыть чертёж</w:t>
            </w:r>
          </w:p>
        </w:tc>
        <w:tc>
          <w:tcPr>
            <w:tcW w:type="dxa" w:w="4320"/>
          </w:tcPr>
          <w:p>
            <w:r>
              <w:t>Работа с DWG/DXF: расстановка точек для получения координат марок</w:t>
            </w:r>
          </w:p>
        </w:tc>
      </w:tr>
    </w:tbl>
    <w:p>
      <w:pPr>
        <w:pStyle w:val="Heading1"/>
      </w:pPr>
      <w:r>
        <w:t>Страница «Исходные данные»</w:t>
      </w:r>
    </w:p>
    <w:p>
      <w:pPr>
        <w:pStyle w:val="Heading2"/>
      </w:pPr>
      <w:r>
        <w:t>Импорт из Excel</w:t>
      </w:r>
    </w:p>
    <w:p>
      <w:r>
        <w:t>Нажмите «Загрузить Excel» и выберите файл .xlsx/.xlsm. Откроется диалог, где можно выбрать лист, объект и цикл. Программа автоматически находит столбцы «№ точки», «Отметка», «Осадка», «Общая» и разбирает данные по объектам и циклам.</w:t>
      </w:r>
    </w:p>
    <w:p>
      <w:r>
        <w:t>После импорта переключайтесь между объектами и циклами через выпадающие списки «Объект №» и «Цикл №» в верхней части страницы.</w:t>
      </w:r>
    </w:p>
    <w:p>
      <w:pPr>
        <w:pStyle w:val="Heading2"/>
      </w:pPr>
      <w:r>
        <w:t>Предельные значения</w:t>
      </w:r>
    </w:p>
    <w:p>
      <w:r>
        <w:t>Заполните поля вручную на основании проектной документации: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2"/>
        <w:gridCol w:w="6803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t>Макс.Пред. СП</w:t>
            </w:r>
          </w:p>
        </w:tc>
        <w:tc>
          <w:tcPr>
            <w:tcW w:type="dxa" w:w="4320"/>
          </w:tcPr>
          <w:p>
            <w:r>
              <w:t>Предельная максимальная осадка по СП (мм). Если точка осела больше этого — попадёт в превышения</w:t>
            </w:r>
          </w:p>
        </w:tc>
      </w:tr>
      <w:tr>
        <w:tc>
          <w:tcPr>
            <w:tcW w:type="dxa" w:w="4320"/>
          </w:tcPr>
          <w:p>
            <w:r>
              <w:t>Макс.Пред. расчёт</w:t>
            </w:r>
          </w:p>
        </w:tc>
        <w:tc>
          <w:tcPr>
            <w:tcW w:type="dxa" w:w="4320"/>
          </w:tcPr>
          <w:p>
            <w:r>
              <w:t>Предельная максимальная осадка по расчёту (мм)</w:t>
            </w:r>
          </w:p>
        </w:tc>
      </w:tr>
      <w:tr>
        <w:tc>
          <w:tcPr>
            <w:tcW w:type="dxa" w:w="4320"/>
          </w:tcPr>
          <w:p>
            <w:r>
              <w:t>Отн.Пред. СП</w:t>
            </w:r>
          </w:p>
        </w:tc>
        <w:tc>
          <w:tcPr>
            <w:tcW w:type="dxa" w:w="4320"/>
          </w:tcPr>
          <w:p>
            <w:r>
              <w:t>Предельная относительная разность осадок по СП (безразмерная, например 0.002)</w:t>
            </w:r>
          </w:p>
        </w:tc>
      </w:tr>
      <w:tr>
        <w:tc>
          <w:tcPr>
            <w:tcW w:type="dxa" w:w="4320"/>
          </w:tcPr>
          <w:p>
            <w:r>
              <w:t>Отн.Пред. расчёт</w:t>
            </w:r>
          </w:p>
        </w:tc>
        <w:tc>
          <w:tcPr>
            <w:tcW w:type="dxa" w:w="4320"/>
          </w:tcPr>
          <w:p>
            <w:r>
              <w:t>Предельная относительная разность осадок по расчёту</w:t>
            </w:r>
          </w:p>
        </w:tc>
      </w:tr>
    </w:tbl>
    <w:p>
      <w:r>
        <w:t>Если поле оставить пустым или 0 — соответствующая проверка превышений не выполняется.</w:t>
      </w:r>
    </w:p>
    <w:p>
      <w:pPr>
        <w:pStyle w:val="Heading2"/>
      </w:pPr>
      <w:r>
        <w:t>Единицы измерения</w:t>
      </w:r>
    </w:p>
    <w:p>
      <w:r>
        <w:t>Выпадающий список «Единицы» определяет, в каких единицах хранятся координаты и значения. При импорте из Excel все значения автоматически переводятся в выбранную единицу. Внутренняя база — миллиметры.</w:t>
      </w:r>
    </w:p>
    <w:p>
      <w:pPr>
        <w:pStyle w:val="Heading2"/>
      </w:pPr>
      <w:r>
        <w:t>Координаты марок</w:t>
      </w:r>
    </w:p>
    <w:p>
      <w:r>
        <w:t>Таблица координат X, Y справа — для расчёта расстояний между марками (нужно для относительных осадок). Координаты можно ввести тремя способами:</w:t>
      </w:r>
    </w:p>
    <w:p>
      <w:pPr>
        <w:pStyle w:val="ListBullet"/>
      </w:pPr>
      <w:r>
        <w:t>Скопировать из Excel и вставить (Ctrl+V)</w:t>
      </w:r>
    </w:p>
    <w:p>
      <w:pPr>
        <w:pStyle w:val="ListBullet"/>
      </w:pPr>
      <w:r>
        <w:t>Перенести со страницы «Открыть чертёж» — нажать там «В исходные данные»</w:t>
      </w:r>
    </w:p>
    <w:p>
      <w:pPr>
        <w:pStyle w:val="ListBullet"/>
      </w:pPr>
      <w:r>
        <w:t>Ввести вручную прямо в таблицу</w:t>
      </w:r>
    </w:p>
    <w:p/>
    <w:p>
      <w:r>
        <w:rPr>
          <w:b/>
        </w:rPr>
        <w:t xml:space="preserve">Важно: </w:t>
      </w:r>
      <w:r>
        <w:t>координаты и данные измерений связаны по позиции (первая строка координат = первая строка данных). Убедитесь, что порядок точек совпадает.</w:t>
      </w:r>
    </w:p>
    <w:p>
      <w:pPr>
        <w:pStyle w:val="Heading1"/>
      </w:pPr>
      <w:r>
        <w:t>Страница «Общий отчёт»</w:t>
      </w:r>
    </w:p>
    <w:p>
      <w:r>
        <w:t>Здесь отображаются сводные результаты по текущему циклу:</w:t>
      </w:r>
    </w:p>
    <w:p>
      <w:pPr>
        <w:pStyle w:val="ListBullet"/>
      </w:pPr>
      <w:r>
        <w:t>Экстремумы суммарной осадки — максимальные и минимальные значения с номерами марок</w:t>
      </w:r>
    </w:p>
    <w:p>
      <w:pPr>
        <w:pStyle w:val="ListBullet"/>
      </w:pPr>
      <w:r>
        <w:t>Среднее значение суммарной и цикловой осадки</w:t>
      </w:r>
    </w:p>
    <w:p>
      <w:pPr>
        <w:pStyle w:val="ListBullet"/>
      </w:pPr>
      <w:r>
        <w:t>Статусы: точки без доступа, уничтоженные, новые</w:t>
      </w:r>
    </w:p>
    <w:p>
      <w:pPr>
        <w:pStyle w:val="ListBullet"/>
      </w:pPr>
      <w:r>
        <w:t>Превышения предельных значений (по СП и по расчёту) — для максимальной и относительной осадки</w:t>
      </w:r>
    </w:p>
    <w:p>
      <w:r>
        <w:t>Переключатели (toggle) слева от каждого блока позволяют включать и отключать отдельные разделы — выключенные блоки не попадут в экспортируемый Excel-отчёт.</w:t>
      </w:r>
    </w:p>
    <w:p>
      <w:pPr>
        <w:pStyle w:val="Heading1"/>
      </w:pPr>
      <w:r>
        <w:t>Страница «Отчёт разности осадок»</w:t>
      </w:r>
    </w:p>
    <w:p>
      <w:r>
        <w:t>Таблица попарных сравнений всех марок. Для каждой пары рассчитывается: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68"/>
        <w:gridCol w:w="7937"/>
      </w:tblGrid>
      <w:tr>
        <w:tc>
          <w:tcPr>
            <w:tcW w:type="dxa" w:w="4320"/>
          </w:tcPr>
          <w:p>
            <w:r>
              <w:t>Столбец</w:t>
            </w:r>
          </w:p>
        </w:tc>
        <w:tc>
          <w:tcPr>
            <w:tcW w:type="dxa" w:w="4320"/>
          </w:tcPr>
          <w:p>
            <w:r>
              <w:t>Формула и смысл</w:t>
            </w:r>
          </w:p>
        </w:tc>
      </w:tr>
      <w:tr>
        <w:tc>
          <w:tcPr>
            <w:tcW w:type="dxa" w:w="4320"/>
          </w:tcPr>
          <w:p>
            <w:r>
              <w:t>Dist, мм</w:t>
            </w:r>
          </w:p>
        </w:tc>
        <w:tc>
          <w:tcPr>
            <w:tcW w:type="dxa" w:w="4320"/>
          </w:tcPr>
          <w:p>
            <w:r>
              <w:t>Расстояние между марками: √((X₂−X₁)² + (Y₂−Y₁)²)</w:t>
            </w:r>
          </w:p>
        </w:tc>
      </w:tr>
      <w:tr>
        <w:tc>
          <w:tcPr>
            <w:tcW w:type="dxa" w:w="4320"/>
          </w:tcPr>
          <w:p>
            <w:r>
              <w:t>ΔS, мм</w:t>
            </w:r>
          </w:p>
        </w:tc>
        <w:tc>
          <w:tcPr>
            <w:tcW w:type="dxa" w:w="4320"/>
          </w:tcPr>
          <w:p>
            <w:r>
              <w:t>Разность суммарных осадок: Total₂ − Total₁</w:t>
            </w:r>
          </w:p>
        </w:tc>
      </w:tr>
      <w:tr>
        <w:tc>
          <w:tcPr>
            <w:tcW w:type="dxa" w:w="4320"/>
          </w:tcPr>
          <w:p>
            <w:r>
              <w:t>ΔS/Dist</w:t>
            </w:r>
          </w:p>
        </w:tc>
        <w:tc>
          <w:tcPr>
            <w:tcW w:type="dxa" w:w="4320"/>
          </w:tcPr>
          <w:p>
            <w:r>
              <w:t>Относительная разность осадок (безразмерная). Сравнивается с предельными значениями по СП 22.13330</w:t>
            </w:r>
          </w:p>
        </w:tc>
      </w:tr>
    </w:tbl>
    <w:p>
      <w:r>
        <w:t>Под таблицей выводятся пары, превысившие предельные значения (отдельно по СП и по расчёту).</w:t>
      </w:r>
    </w:p>
    <w:p>
      <w:pPr>
        <w:pStyle w:val="Heading1"/>
      </w:pPr>
      <w:r>
        <w:t>Страница «Динамика общей осадки»</w:t>
      </w:r>
    </w:p>
    <w:p>
      <w:r>
        <w:t>График показывает, как менялась суммарная осадка каждой марки от цикла к циклу. Каждая линия — одна деформационная марка. По оси X — номера циклов, по оси Y — суммарная осадка в мм.</w:t>
      </w:r>
    </w:p>
    <w:p/>
    <w:p>
      <w:r>
        <w:rPr>
          <w:b/>
        </w:rPr>
        <w:t xml:space="preserve">Важно: </w:t>
      </w:r>
      <w:r>
        <w:t>данные для графика динамики берутся из всех циклов объекта. Для этого необходимо загружать данные через «Загрузить Excel» (а не вставлять из буфера), чтобы программа видела все циклы сразу.</w:t>
      </w:r>
    </w:p>
    <w:p>
      <w:pPr>
        <w:pStyle w:val="Heading1"/>
      </w:pPr>
      <w:r>
        <w:t>Страница «Открыть чертёж»</w:t>
      </w:r>
    </w:p>
    <w:p>
      <w:r>
        <w:t>Позволяет загрузить чертёж в формате DWG или DXF и визуально разместить деформационные марки на плане.</w:t>
      </w:r>
    </w:p>
    <w:p>
      <w:pPr>
        <w:pStyle w:val="Heading2"/>
      </w:pPr>
      <w:r>
        <w:t>Управление</w:t>
      </w:r>
    </w:p>
    <w:p>
      <w:pPr>
        <w:pStyle w:val="ListBullet"/>
      </w:pPr>
      <w:r>
        <w:t>Открыть — загрузить файл чертежа</w:t>
      </w:r>
    </w:p>
    <w:p>
      <w:pPr>
        <w:pStyle w:val="ListBullet"/>
      </w:pPr>
      <w:r>
        <w:t>Линейка — режим измерения расстояний на чертеже</w:t>
      </w:r>
    </w:p>
    <w:p>
      <w:pPr>
        <w:pStyle w:val="ListBullet"/>
      </w:pPr>
      <w:r>
        <w:t>Выбор точек — режим размещения марок: кликните на чертеже в местах расположения марок</w:t>
      </w:r>
    </w:p>
    <w:p>
      <w:pPr>
        <w:pStyle w:val="ListBullet"/>
      </w:pPr>
      <w:r>
        <w:t>Экспорт (Enter) — сохранить координаты выбранных точек</w:t>
      </w:r>
    </w:p>
    <w:p>
      <w:pPr>
        <w:pStyle w:val="ListBullet"/>
      </w:pPr>
      <w:r>
        <w:t>В исходные данные — отправить координаты на страницу «Исходные данные»</w:t>
      </w:r>
    </w:p>
    <w:p>
      <w:pPr>
        <w:pStyle w:val="ListBullet"/>
      </w:pPr>
      <w:r>
        <w:t>Слои — включение/отключение слоёв чертежа</w:t>
      </w:r>
    </w:p>
    <w:p>
      <w:pPr>
        <w:pStyle w:val="ListBullet"/>
      </w:pPr>
      <w:r>
        <w:t>Сетка — отображение координатной сетки с настраиваемым шагом</w:t>
      </w:r>
    </w:p>
    <w:p>
      <w:pPr>
        <w:pStyle w:val="Heading1"/>
      </w:pPr>
      <w:r>
        <w:t>Экспорт отчёта</w:t>
      </w:r>
    </w:p>
    <w:p>
      <w:pPr>
        <w:pStyle w:val="Heading2"/>
      </w:pPr>
      <w:r>
        <w:t>Быстрый экспорт</w:t>
      </w:r>
    </w:p>
    <w:p>
      <w:r>
        <w:t>Кнопка «Создать отчёт» на левой панели формирует Excel-файл на основе шаблона. Перед нажатием отметьте галочками, какие листы включить:</w:t>
      </w:r>
    </w:p>
    <w:p>
      <w:pPr>
        <w:pStyle w:val="ListBullet"/>
      </w:pPr>
      <w:r>
        <w:t>Общий — лист с заполненным шаблоном (теги заменяются на значения)</w:t>
      </w:r>
    </w:p>
    <w:p>
      <w:pPr>
        <w:pStyle w:val="ListBullet"/>
      </w:pPr>
      <w:r>
        <w:t>Отн. — лист «Относительная разность» с попарной таблицей</w:t>
      </w:r>
    </w:p>
    <w:p>
      <w:pPr>
        <w:pStyle w:val="ListBullet"/>
      </w:pPr>
      <w:r>
        <w:t>Графики — лист «Графики динамики» с данными и (при наличии Excel) встроенным графиком</w:t>
      </w:r>
    </w:p>
    <w:p>
      <w:pPr>
        <w:pStyle w:val="Heading2"/>
      </w:pPr>
      <w:r>
        <w:t>Шаблон отчёта</w:t>
      </w:r>
    </w:p>
    <w:p>
      <w:r>
        <w:t>По умолчанию используется встроенный template.xlsx из папки приложения. Можно выбрать свой шаблон кнопкой «Выбрать шаблон» на странице исходных данных.</w:t>
      </w:r>
    </w:p>
    <w:p>
      <w:r>
        <w:t>Шаблон — это обычный Excel-файл, в ячейках которого расставлены теги (слова, начинающиеся с /). При экспорте программа заменяет каждый тег на соответствующее значение. Если тега в ячейке нет — эти данные просто не будут вставлены.</w:t>
      </w:r>
    </w:p>
    <w:p>
      <w:pPr>
        <w:pStyle w:val="Heading2"/>
      </w:pPr>
      <w:r>
        <w:t>Полный список тегов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68"/>
        <w:gridCol w:w="4535"/>
        <w:gridCol w:w="2835"/>
      </w:tblGrid>
      <w:tr>
        <w:tc>
          <w:tcPr>
            <w:tcW w:type="dxa" w:w="2880"/>
          </w:tcPr>
          <w:p>
            <w:r>
              <w:t>Тег</w:t>
            </w:r>
          </w:p>
        </w:tc>
        <w:tc>
          <w:tcPr>
            <w:tcW w:type="dxa" w:w="2880"/>
          </w:tcPr>
          <w:p>
            <w:r>
              <w:t>Что подставляется</w:t>
            </w:r>
          </w:p>
        </w:tc>
        <w:tc>
          <w:tcPr>
            <w:tcW w:type="dxa" w:w="2880"/>
          </w:tcPr>
          <w:p>
            <w:r>
              <w:t>Пример значения</w:t>
            </w:r>
          </w:p>
        </w:tc>
      </w:tr>
      <w:tr>
        <w:tc>
          <w:tcPr>
            <w:tcW w:type="dxa" w:w="2268"/>
          </w:tcPr>
          <w:p>
            <w:r>
              <w:t>/цикл</w:t>
            </w:r>
          </w:p>
        </w:tc>
        <w:tc>
          <w:tcPr>
            <w:tcW w:type="dxa" w:w="4535"/>
          </w:tcPr>
          <w:p>
            <w:r>
              <w:t>Название текущего цикла</w:t>
            </w:r>
          </w:p>
        </w:tc>
        <w:tc>
          <w:tcPr>
            <w:tcW w:type="dxa" w:w="2835"/>
          </w:tcPr>
          <w:p>
            <w:r>
              <w:t>Цикл 5 (01.2025)</w:t>
            </w:r>
          </w:p>
        </w:tc>
      </w:tr>
      <w:tr>
        <w:tc>
          <w:tcPr>
            <w:tcW w:type="dxa" w:w="2268"/>
          </w:tcPr>
          <w:p>
            <w:r>
              <w:t>/предСПмакс</w:t>
            </w:r>
          </w:p>
        </w:tc>
        <w:tc>
          <w:tcPr>
            <w:tcW w:type="dxa" w:w="4535"/>
          </w:tcPr>
          <w:p>
            <w:r>
              <w:t>Предельная макс. осадка по СП</w:t>
            </w:r>
          </w:p>
        </w:tc>
        <w:tc>
          <w:tcPr>
            <w:tcW w:type="dxa" w:w="2835"/>
          </w:tcPr>
          <w:p>
            <w:r>
              <w:t>150</w:t>
            </w:r>
          </w:p>
        </w:tc>
      </w:tr>
      <w:tr>
        <w:tc>
          <w:tcPr>
            <w:tcW w:type="dxa" w:w="2268"/>
          </w:tcPr>
          <w:p>
            <w:r>
              <w:t>/предРАСЧмакс</w:t>
            </w:r>
          </w:p>
        </w:tc>
        <w:tc>
          <w:tcPr>
            <w:tcW w:type="dxa" w:w="4535"/>
          </w:tcPr>
          <w:p>
            <w:r>
              <w:t>Предельная макс. осадка по расчёту</w:t>
            </w:r>
          </w:p>
        </w:tc>
        <w:tc>
          <w:tcPr>
            <w:tcW w:type="dxa" w:w="2835"/>
          </w:tcPr>
          <w:p>
            <w:r>
              <w:t>120</w:t>
            </w:r>
          </w:p>
        </w:tc>
      </w:tr>
      <w:tr>
        <w:tc>
          <w:tcPr>
            <w:tcW w:type="dxa" w:w="2268"/>
          </w:tcPr>
          <w:p>
            <w:r>
              <w:t>/предСПотн</w:t>
            </w:r>
          </w:p>
        </w:tc>
        <w:tc>
          <w:tcPr>
            <w:tcW w:type="dxa" w:w="4535"/>
          </w:tcPr>
          <w:p>
            <w:r>
              <w:t>Предельная отн. осадка по СП</w:t>
            </w:r>
          </w:p>
        </w:tc>
        <w:tc>
          <w:tcPr>
            <w:tcW w:type="dxa" w:w="2835"/>
          </w:tcPr>
          <w:p>
            <w:r>
              <w:t>0.002</w:t>
            </w:r>
          </w:p>
        </w:tc>
      </w:tr>
      <w:tr>
        <w:tc>
          <w:tcPr>
            <w:tcW w:type="dxa" w:w="2268"/>
          </w:tcPr>
          <w:p>
            <w:r>
              <w:t>/предРАСЧотн</w:t>
            </w:r>
          </w:p>
        </w:tc>
        <w:tc>
          <w:tcPr>
            <w:tcW w:type="dxa" w:w="4535"/>
          </w:tcPr>
          <w:p>
            <w:r>
              <w:t>Предельная отн. осадка по расчёту</w:t>
            </w:r>
          </w:p>
        </w:tc>
        <w:tc>
          <w:tcPr>
            <w:tcW w:type="dxa" w:w="2835"/>
          </w:tcPr>
          <w:p>
            <w:r>
              <w:t>0.003</w:t>
            </w:r>
          </w:p>
        </w:tc>
      </w:tr>
      <w:tr>
        <w:tc>
          <w:tcPr>
            <w:tcW w:type="dxa" w:w="2268"/>
          </w:tcPr>
          <w:p>
            <w:r>
              <w:t>/общмакс</w:t>
            </w:r>
          </w:p>
        </w:tc>
        <w:tc>
          <w:tcPr>
            <w:tcW w:type="dxa" w:w="4535"/>
          </w:tcPr>
          <w:p>
            <w:r>
              <w:t>Максимальная суммарная осадка (мм)</w:t>
            </w:r>
          </w:p>
        </w:tc>
        <w:tc>
          <w:tcPr>
            <w:tcW w:type="dxa" w:w="2835"/>
          </w:tcPr>
          <w:p>
            <w:r>
              <w:t>-45.2</w:t>
            </w:r>
          </w:p>
        </w:tc>
      </w:tr>
      <w:tr>
        <w:tc>
          <w:tcPr>
            <w:tcW w:type="dxa" w:w="2268"/>
          </w:tcPr>
          <w:p>
            <w:r>
              <w:t>/общмаксId</w:t>
            </w:r>
          </w:p>
        </w:tc>
        <w:tc>
          <w:tcPr>
            <w:tcW w:type="dxa" w:w="4535"/>
          </w:tcPr>
          <w:p>
            <w:r>
              <w:t>Номера марок с макс. суммарной осадкой</w:t>
            </w:r>
          </w:p>
        </w:tc>
        <w:tc>
          <w:tcPr>
            <w:tcW w:type="dxa" w:w="2835"/>
          </w:tcPr>
          <w:p>
            <w:r>
              <w:t>12, 15</w:t>
            </w:r>
          </w:p>
        </w:tc>
      </w:tr>
      <w:tr>
        <w:tc>
          <w:tcPr>
            <w:tcW w:type="dxa" w:w="2268"/>
          </w:tcPr>
          <w:p>
            <w:r>
              <w:t>/общэкстр</w:t>
            </w:r>
          </w:p>
        </w:tc>
        <w:tc>
          <w:tcPr>
            <w:tcW w:type="dxa" w:w="4535"/>
          </w:tcPr>
          <w:p>
            <w:r>
              <w:t>Экстремумы суммарной осадки (мин/макс)</w:t>
            </w:r>
          </w:p>
        </w:tc>
        <w:tc>
          <w:tcPr>
            <w:tcW w:type="dxa" w:w="2835"/>
          </w:tcPr>
          <w:p>
            <w:r>
              <w:t>-45.2/+1.3</w:t>
            </w:r>
          </w:p>
        </w:tc>
      </w:tr>
      <w:tr>
        <w:tc>
          <w:tcPr>
            <w:tcW w:type="dxa" w:w="2268"/>
          </w:tcPr>
          <w:p>
            <w:r>
              <w:t>/общэкстрId</w:t>
            </w:r>
          </w:p>
        </w:tc>
        <w:tc>
          <w:tcPr>
            <w:tcW w:type="dxa" w:w="4535"/>
          </w:tcPr>
          <w:p>
            <w:r>
              <w:t>Номера марок экстремумов суммарной</w:t>
            </w:r>
          </w:p>
        </w:tc>
        <w:tc>
          <w:tcPr>
            <w:tcW w:type="dxa" w:w="2835"/>
          </w:tcPr>
          <w:p>
            <w:r>
              <w:t>12 / 3</w:t>
            </w:r>
          </w:p>
        </w:tc>
      </w:tr>
      <w:tr>
        <w:tc>
          <w:tcPr>
            <w:tcW w:type="dxa" w:w="2268"/>
          </w:tcPr>
          <w:p>
            <w:r>
              <w:t>/общср</w:t>
            </w:r>
          </w:p>
        </w:tc>
        <w:tc>
          <w:tcPr>
            <w:tcW w:type="dxa" w:w="4535"/>
          </w:tcPr>
          <w:p>
            <w:r>
              <w:t>Средняя суммарная осадка (мм)</w:t>
            </w:r>
          </w:p>
        </w:tc>
        <w:tc>
          <w:tcPr>
            <w:tcW w:type="dxa" w:w="2835"/>
          </w:tcPr>
          <w:p>
            <w:r>
              <w:t>-18.4</w:t>
            </w:r>
          </w:p>
        </w:tc>
      </w:tr>
      <w:tr>
        <w:tc>
          <w:tcPr>
            <w:tcW w:type="dxa" w:w="2268"/>
          </w:tcPr>
          <w:p>
            <w:r>
              <w:t>/сеттмакс</w:t>
            </w:r>
          </w:p>
        </w:tc>
        <w:tc>
          <w:tcPr>
            <w:tcW w:type="dxa" w:w="4535"/>
          </w:tcPr>
          <w:p>
            <w:r>
              <w:t>Максимальная осадка за цикл (мм)</w:t>
            </w:r>
          </w:p>
        </w:tc>
        <w:tc>
          <w:tcPr>
            <w:tcW w:type="dxa" w:w="2835"/>
          </w:tcPr>
          <w:p>
            <w:r>
              <w:t>-5.1</w:t>
            </w:r>
          </w:p>
        </w:tc>
      </w:tr>
      <w:tr>
        <w:tc>
          <w:tcPr>
            <w:tcW w:type="dxa" w:w="2268"/>
          </w:tcPr>
          <w:p>
            <w:r>
              <w:t>/сеттмаксId</w:t>
            </w:r>
          </w:p>
        </w:tc>
        <w:tc>
          <w:tcPr>
            <w:tcW w:type="dxa" w:w="4535"/>
          </w:tcPr>
          <w:p>
            <w:r>
              <w:t>Номера марок с макс. осадкой за цикл</w:t>
            </w:r>
          </w:p>
        </w:tc>
        <w:tc>
          <w:tcPr>
            <w:tcW w:type="dxa" w:w="2835"/>
          </w:tcPr>
          <w:p>
            <w:r>
              <w:t>12</w:t>
            </w:r>
          </w:p>
        </w:tc>
      </w:tr>
      <w:tr>
        <w:tc>
          <w:tcPr>
            <w:tcW w:type="dxa" w:w="2268"/>
          </w:tcPr>
          <w:p>
            <w:r>
              <w:t>/сеттэкстр</w:t>
            </w:r>
          </w:p>
        </w:tc>
        <w:tc>
          <w:tcPr>
            <w:tcW w:type="dxa" w:w="4535"/>
          </w:tcPr>
          <w:p>
            <w:r>
              <w:t>Экстремумы осадки за цикл (мин/макс)</w:t>
            </w:r>
          </w:p>
        </w:tc>
        <w:tc>
          <w:tcPr>
            <w:tcW w:type="dxa" w:w="2835"/>
          </w:tcPr>
          <w:p>
            <w:r>
              <w:t>-5.1/+0.3</w:t>
            </w:r>
          </w:p>
        </w:tc>
      </w:tr>
      <w:tr>
        <w:tc>
          <w:tcPr>
            <w:tcW w:type="dxa" w:w="2268"/>
          </w:tcPr>
          <w:p>
            <w:r>
              <w:t>/сеттэкстрId</w:t>
            </w:r>
          </w:p>
        </w:tc>
        <w:tc>
          <w:tcPr>
            <w:tcW w:type="dxa" w:w="4535"/>
          </w:tcPr>
          <w:p>
            <w:r>
              <w:t>Номера марок экстремумов за цикл</w:t>
            </w:r>
          </w:p>
        </w:tc>
        <w:tc>
          <w:tcPr>
            <w:tcW w:type="dxa" w:w="2835"/>
          </w:tcPr>
          <w:p>
            <w:r>
              <w:t>12 / 7</w:t>
            </w:r>
          </w:p>
        </w:tc>
      </w:tr>
      <w:tr>
        <w:tc>
          <w:tcPr>
            <w:tcW w:type="dxa" w:w="2268"/>
          </w:tcPr>
          <w:p>
            <w:r>
              <w:t>/сеттср</w:t>
            </w:r>
          </w:p>
        </w:tc>
        <w:tc>
          <w:tcPr>
            <w:tcW w:type="dxa" w:w="4535"/>
          </w:tcPr>
          <w:p>
            <w:r>
              <w:t>Средняя осадка за цикл (мм)</w:t>
            </w:r>
          </w:p>
        </w:tc>
        <w:tc>
          <w:tcPr>
            <w:tcW w:type="dxa" w:w="2835"/>
          </w:tcPr>
          <w:p>
            <w:r>
              <w:t>-2.1</w:t>
            </w:r>
          </w:p>
        </w:tc>
      </w:tr>
      <w:tr>
        <w:tc>
          <w:tcPr>
            <w:tcW w:type="dxa" w:w="2268"/>
          </w:tcPr>
          <w:p>
            <w:r>
              <w:t>/отнмакс</w:t>
            </w:r>
          </w:p>
        </w:tc>
        <w:tc>
          <w:tcPr>
            <w:tcW w:type="dxa" w:w="4535"/>
          </w:tcPr>
          <w:p>
            <w:r>
              <w:t>Максимальная относительная разность</w:t>
            </w:r>
          </w:p>
        </w:tc>
        <w:tc>
          <w:tcPr>
            <w:tcW w:type="dxa" w:w="2835"/>
          </w:tcPr>
          <w:p>
            <w:r>
              <w:t>0.00234</w:t>
            </w:r>
          </w:p>
        </w:tc>
      </w:tr>
      <w:tr>
        <w:tc>
          <w:tcPr>
            <w:tcW w:type="dxa" w:w="2268"/>
          </w:tcPr>
          <w:p>
            <w:r>
              <w:t>/отнмаксId</w:t>
            </w:r>
          </w:p>
        </w:tc>
        <w:tc>
          <w:tcPr>
            <w:tcW w:type="dxa" w:w="4535"/>
          </w:tcPr>
          <w:p>
            <w:r>
              <w:t>Пара марок с макс. относительной</w:t>
            </w:r>
          </w:p>
        </w:tc>
        <w:tc>
          <w:tcPr>
            <w:tcW w:type="dxa" w:w="2835"/>
          </w:tcPr>
          <w:p>
            <w:r>
              <w:t>3-12</w:t>
            </w:r>
          </w:p>
        </w:tc>
      </w:tr>
      <w:tr>
        <w:tc>
          <w:tcPr>
            <w:tcW w:type="dxa" w:w="2268"/>
          </w:tcPr>
          <w:p>
            <w:r>
              <w:t>/нетдоступа</w:t>
            </w:r>
          </w:p>
        </w:tc>
        <w:tc>
          <w:tcPr>
            <w:tcW w:type="dxa" w:w="4535"/>
          </w:tcPr>
          <w:p>
            <w:r>
              <w:t>Марки без доступа</w:t>
            </w:r>
          </w:p>
        </w:tc>
        <w:tc>
          <w:tcPr>
            <w:tcW w:type="dxa" w:w="2835"/>
          </w:tcPr>
          <w:p>
            <w:r>
              <w:t>8, 14</w:t>
            </w:r>
          </w:p>
        </w:tc>
      </w:tr>
      <w:tr>
        <w:tc>
          <w:tcPr>
            <w:tcW w:type="dxa" w:w="2268"/>
          </w:tcPr>
          <w:p>
            <w:r>
              <w:t>/уничтожены</w:t>
            </w:r>
          </w:p>
        </w:tc>
        <w:tc>
          <w:tcPr>
            <w:tcW w:type="dxa" w:w="4535"/>
          </w:tcPr>
          <w:p>
            <w:r>
              <w:t>Уничтоженные марки</w:t>
            </w:r>
          </w:p>
        </w:tc>
        <w:tc>
          <w:tcPr>
            <w:tcW w:type="dxa" w:w="2835"/>
          </w:tcPr>
          <w:p>
            <w:r>
              <w:t>6</w:t>
            </w:r>
          </w:p>
        </w:tc>
      </w:tr>
      <w:tr>
        <w:tc>
          <w:tcPr>
            <w:tcW w:type="dxa" w:w="2268"/>
          </w:tcPr>
          <w:p>
            <w:r>
              <w:t>/новые</w:t>
            </w:r>
          </w:p>
        </w:tc>
        <w:tc>
          <w:tcPr>
            <w:tcW w:type="dxa" w:w="4535"/>
          </w:tcPr>
          <w:p>
            <w:r>
              <w:t>Новые марки</w:t>
            </w:r>
          </w:p>
        </w:tc>
        <w:tc>
          <w:tcPr>
            <w:tcW w:type="dxa" w:w="2835"/>
          </w:tcPr>
          <w:p>
            <w:r>
              <w:t>20, 21</w:t>
            </w:r>
          </w:p>
        </w:tc>
      </w:tr>
      <w:tr>
        <w:tc>
          <w:tcPr>
            <w:tcW w:type="dxa" w:w="2268"/>
          </w:tcPr>
          <w:p>
            <w:r>
              <w:t>/общ&gt;сп</w:t>
            </w:r>
          </w:p>
        </w:tc>
        <w:tc>
          <w:tcPr>
            <w:tcW w:type="dxa" w:w="4535"/>
          </w:tcPr>
          <w:p>
            <w:r>
              <w:t>Превышения макс. осадки по СП</w:t>
            </w:r>
          </w:p>
        </w:tc>
        <w:tc>
          <w:tcPr>
            <w:tcW w:type="dxa" w:w="2835"/>
          </w:tcPr>
          <w:p>
            <w:r>
              <w:t>№12(-45.2)</w:t>
            </w:r>
          </w:p>
        </w:tc>
      </w:tr>
      <w:tr>
        <w:tc>
          <w:tcPr>
            <w:tcW w:type="dxa" w:w="2268"/>
          </w:tcPr>
          <w:p>
            <w:r>
              <w:t>/общ&gt;расч</w:t>
            </w:r>
          </w:p>
        </w:tc>
        <w:tc>
          <w:tcPr>
            <w:tcW w:type="dxa" w:w="4535"/>
          </w:tcPr>
          <w:p>
            <w:r>
              <w:t>Превышения макс. осадки по расчёту</w:t>
            </w:r>
          </w:p>
        </w:tc>
        <w:tc>
          <w:tcPr>
            <w:tcW w:type="dxa" w:w="2835"/>
          </w:tcPr>
          <w:p>
            <w:r>
              <w:t>№12(-45.2), №15(-41.0)</w:t>
            </w:r>
          </w:p>
        </w:tc>
      </w:tr>
      <w:tr>
        <w:tc>
          <w:tcPr>
            <w:tcW w:type="dxa" w:w="2268"/>
          </w:tcPr>
          <w:p>
            <w:r>
              <w:t>/отн&gt;сп</w:t>
            </w:r>
          </w:p>
        </w:tc>
        <w:tc>
          <w:tcPr>
            <w:tcW w:type="dxa" w:w="4535"/>
          </w:tcPr>
          <w:p>
            <w:r>
              <w:t>Превышения отн. осадки по СП</w:t>
            </w:r>
          </w:p>
        </w:tc>
        <w:tc>
          <w:tcPr>
            <w:tcW w:type="dxa" w:w="2835"/>
          </w:tcPr>
          <w:p>
            <w:r>
              <w:t>3-12(0.00234)</w:t>
            </w:r>
          </w:p>
        </w:tc>
      </w:tr>
      <w:tr>
        <w:tc>
          <w:tcPr>
            <w:tcW w:type="dxa" w:w="2268"/>
          </w:tcPr>
          <w:p>
            <w:r>
              <w:t>/отн&gt;расч</w:t>
            </w:r>
          </w:p>
        </w:tc>
        <w:tc>
          <w:tcPr>
            <w:tcW w:type="dxa" w:w="4535"/>
          </w:tcPr>
          <w:p>
            <w:r>
              <w:t>Превышения отн. осадки по расчёту</w:t>
            </w:r>
          </w:p>
        </w:tc>
        <w:tc>
          <w:tcPr>
            <w:tcW w:type="dxa" w:w="2835"/>
          </w:tcPr>
          <w:p>
            <w:r>
              <w:t>3-12(0.00234)</w:t>
            </w:r>
          </w:p>
        </w:tc>
      </w:tr>
      <w:tr>
        <w:tc>
          <w:tcPr>
            <w:tcW w:type="dxa" w:w="2268"/>
          </w:tcPr>
          <w:p>
            <w:r>
              <w:t>/общмин</w:t>
            </w:r>
          </w:p>
        </w:tc>
        <w:tc>
          <w:tcPr>
            <w:tcW w:type="dxa" w:w="4535"/>
          </w:tcPr>
          <w:p>
            <w:r>
              <w:t>Алиас → /общэкстр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/общминId</w:t>
            </w:r>
          </w:p>
        </w:tc>
        <w:tc>
          <w:tcPr>
            <w:tcW w:type="dxa" w:w="4535"/>
          </w:tcPr>
          <w:p>
            <w:r>
              <w:t>Алиас → /общэкстрId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/сеттмин</w:t>
            </w:r>
          </w:p>
        </w:tc>
        <w:tc>
          <w:tcPr>
            <w:tcW w:type="dxa" w:w="4535"/>
          </w:tcPr>
          <w:p>
            <w:r>
              <w:t>Алиас → /сеттэкстр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</w:tcPr>
          <w:p>
            <w:r>
              <w:t>/сеттминId</w:t>
            </w:r>
          </w:p>
        </w:tc>
        <w:tc>
          <w:tcPr>
            <w:tcW w:type="dxa" w:w="4535"/>
          </w:tcPr>
          <w:p>
            <w:r>
              <w:t>Алиас → /сеттэкстрId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1"/>
      </w:pPr>
      <w:r>
        <w:t>Связь с Word-отчётом</w:t>
      </w:r>
    </w:p>
    <w:p>
      <w:r>
        <w:t>Чтобы не копировать данные каждый раз вручную, можно связать Excel-отчёт с Word-документом:</w:t>
      </w:r>
    </w:p>
    <w:p>
      <w:pPr>
        <w:pStyle w:val="ListNumber"/>
      </w:pPr>
      <w:r>
        <w:t>Экспортируйте отчёт в выбранную папку</w:t>
      </w:r>
    </w:p>
    <w:p>
      <w:pPr>
        <w:pStyle w:val="ListNumber"/>
      </w:pPr>
      <w:r>
        <w:t>Откройте нужные ячейки в Excel, скопируйте их</w:t>
      </w:r>
    </w:p>
    <w:p>
      <w:pPr>
        <w:pStyle w:val="ListNumber"/>
      </w:pPr>
      <w:r>
        <w:t xml:space="preserve">В Word вставьте через </w:t>
      </w:r>
      <w:r>
        <w:rPr>
          <w:b/>
        </w:rPr>
        <w:t>Ctrl+Alt+V</w:t>
      </w:r>
      <w:r>
        <w:t xml:space="preserve"> → «Связать» → «Текст HTML»</w:t>
      </w:r>
    </w:p>
    <w:p>
      <w:pPr>
        <w:pStyle w:val="ListNumber"/>
      </w:pPr>
      <w:r>
        <w:t>При следующем экспорте сохраняйте файл с тем же именем — связи обновятся автоматически</w:t>
      </w:r>
    </w:p>
    <w:p/>
    <w:p>
      <w:r>
        <w:rPr>
          <w:b/>
        </w:rPr>
        <w:t xml:space="preserve">Совет: </w:t>
      </w:r>
      <w:r>
        <w:t>когда отчёт финализирован, скопируйте Word-документ и в копии отвяжите все связи (Файл → Сведения → Изменить связи → Разорвать связь), чтобы данные зафиксировались.</w:t>
      </w:r>
    </w:p>
    <w:p>
      <w:pPr>
        <w:pStyle w:val="Heading1"/>
      </w:pPr>
      <w:r>
        <w:t>Сохранение проекта</w:t>
      </w:r>
    </w:p>
    <w:p>
      <w:r>
        <w:t>Текущее состояние (данные, координаты, предельные значения, все циклы) можно сохранить в файл проекта .osd через меню Файл → Сохранить (Ctrl+S) или Сохранить как.</w:t>
      </w:r>
    </w:p>
    <w:p>
      <w:r>
        <w:t>При повторном открытии (Файл → Открыть) всё загружается обратно. Также можно просто дважды кликнуть по файлу .osd, если программа ассоциирована с этим расширением.</w:t>
      </w:r>
    </w:p>
    <w:p>
      <w:pPr>
        <w:pStyle w:val="Heading1"/>
      </w:pPr>
      <w:r>
        <w:t>Горячие клавиши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35"/>
        <w:gridCol w:w="7370"/>
      </w:tblGrid>
      <w:tr>
        <w:tc>
          <w:tcPr>
            <w:tcW w:type="dxa" w:w="4320"/>
          </w:tcPr>
          <w:p>
            <w:r>
              <w:t>Клавиша</w:t>
            </w:r>
          </w:p>
        </w:tc>
        <w:tc>
          <w:tcPr>
            <w:tcW w:type="dxa" w:w="4320"/>
          </w:tcPr>
          <w:p>
            <w:r>
              <w:t>Действие</w:t>
            </w:r>
          </w:p>
        </w:tc>
      </w:tr>
      <w:tr>
        <w:tc>
          <w:tcPr>
            <w:tcW w:type="dxa" w:w="4320"/>
          </w:tcPr>
          <w:p>
            <w:r>
              <w:t>Ctrl+S</w:t>
            </w:r>
          </w:p>
        </w:tc>
        <w:tc>
          <w:tcPr>
            <w:tcW w:type="dxa" w:w="4320"/>
          </w:tcPr>
          <w:p>
            <w:r>
              <w:t>Сохранить проект</w:t>
            </w:r>
          </w:p>
        </w:tc>
      </w:tr>
      <w:tr>
        <w:tc>
          <w:tcPr>
            <w:tcW w:type="dxa" w:w="4320"/>
          </w:tcPr>
          <w:p>
            <w:r>
              <w:t>Enter</w:t>
            </w:r>
          </w:p>
        </w:tc>
        <w:tc>
          <w:tcPr>
            <w:tcW w:type="dxa" w:w="4320"/>
          </w:tcPr>
          <w:p>
            <w:r>
              <w:t>Экспорт точек (на странице чертежа)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050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50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50A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