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4CF60F94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 xmlns:oel="http://schemas.microsoft.com/office/2019/extlst"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22A401AC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11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A8697B">
              <w:t>Шендяпин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»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7B324B0E" w14:textId="18DA865E" w:rsidR="009F1C8E" w:rsidRDefault="009F1C8E" w:rsidP="009F1C8E">
      <w:pPr>
        <w:pStyle w:val="Gorkinpot"/>
        <w:ind w:firstLine="708"/>
      </w:pPr>
      <w:r w:rsidRPr="009F1C8E">
        <w:rPr>
          <w:b/>
          <w:bCs/>
        </w:rPr>
        <w:lastRenderedPageBreak/>
        <w:t>Цель занятия:</w:t>
      </w:r>
      <w:r>
        <w:t xml:space="preserve"> отработка навыков по созданию моделей процессов в методологии BPMN.</w:t>
      </w:r>
    </w:p>
    <w:p w14:paraId="7DDB23FD" w14:textId="77777777" w:rsidR="009F1C8E" w:rsidRPr="009F1C8E" w:rsidRDefault="009F1C8E" w:rsidP="009F1C8E">
      <w:pPr>
        <w:pStyle w:val="Gorkinpot"/>
        <w:ind w:firstLine="708"/>
        <w:rPr>
          <w:b/>
          <w:bCs/>
        </w:rPr>
      </w:pPr>
      <w:r w:rsidRPr="009F1C8E">
        <w:rPr>
          <w:b/>
          <w:bCs/>
        </w:rPr>
        <w:t>Постановка задачи:</w:t>
      </w:r>
    </w:p>
    <w:p w14:paraId="41FB09AA" w14:textId="77777777" w:rsidR="009F1C8E" w:rsidRDefault="009F1C8E" w:rsidP="009F1C8E">
      <w:pPr>
        <w:pStyle w:val="Gorkinpot"/>
        <w:ind w:firstLine="708"/>
      </w:pPr>
      <w:r>
        <w:t xml:space="preserve"> • в интерактивном режиме изучить возможности построения бизнеспроцесса в нотации BPMN,</w:t>
      </w:r>
    </w:p>
    <w:p w14:paraId="034C1551" w14:textId="77777777" w:rsidR="009F1C8E" w:rsidRDefault="009F1C8E" w:rsidP="009F1C8E">
      <w:pPr>
        <w:pStyle w:val="Gorkinpot"/>
        <w:ind w:firstLine="708"/>
      </w:pPr>
      <w:r>
        <w:t xml:space="preserve"> • на основе выданного преподавателем задания построить бизнеспроцесс в нотации BPMN. </w:t>
      </w:r>
    </w:p>
    <w:p w14:paraId="354FE548" w14:textId="7F49390D" w:rsidR="009F1C8E" w:rsidRDefault="009F1C8E" w:rsidP="009F1C8E">
      <w:pPr>
        <w:pStyle w:val="Gorkinpot"/>
        <w:ind w:firstLine="708"/>
      </w:pPr>
      <w:r w:rsidRPr="009F1C8E">
        <w:rPr>
          <w:b/>
          <w:bCs/>
        </w:rPr>
        <w:t>Результат практического занятия:</w:t>
      </w:r>
      <w:r>
        <w:t xml:space="preserve"> построенные и сохраненные в файле текстового формата бизнес-процессы, представленный преподавателю в конце практического занятия в виде отчета.</w:t>
      </w:r>
    </w:p>
    <w:p w14:paraId="371E91E6" w14:textId="2ACFE6DE" w:rsidR="009F1C8E" w:rsidRDefault="009F1C8E" w:rsidP="009F1C8E">
      <w:pPr>
        <w:pStyle w:val="Gorkinpot"/>
        <w:ind w:firstLine="708"/>
      </w:pPr>
    </w:p>
    <w:p w14:paraId="04D8A2FA" w14:textId="05F0F983" w:rsidR="009F1C8E" w:rsidRDefault="009F1C8E" w:rsidP="009F1C8E">
      <w:pPr>
        <w:pStyle w:val="Gorkinpot"/>
        <w:ind w:firstLine="708"/>
      </w:pPr>
    </w:p>
    <w:p w14:paraId="08A0BBE8" w14:textId="1955784B" w:rsidR="009F1C8E" w:rsidRDefault="009F1C8E" w:rsidP="009F1C8E">
      <w:pPr>
        <w:pStyle w:val="Gorkinpot"/>
        <w:ind w:firstLine="708"/>
      </w:pPr>
    </w:p>
    <w:p w14:paraId="7EF493E2" w14:textId="07DA3F9D" w:rsidR="009F1C8E" w:rsidRDefault="009F1C8E" w:rsidP="009F1C8E">
      <w:pPr>
        <w:pStyle w:val="Gorkinpot"/>
        <w:ind w:firstLine="708"/>
      </w:pPr>
    </w:p>
    <w:p w14:paraId="5AC71CE9" w14:textId="23ACFD4C" w:rsidR="009F1C8E" w:rsidRDefault="009F1C8E" w:rsidP="009F1C8E">
      <w:pPr>
        <w:pStyle w:val="Gorkinpot"/>
        <w:ind w:firstLine="708"/>
      </w:pPr>
    </w:p>
    <w:p w14:paraId="3E7E209B" w14:textId="07B5A58A" w:rsidR="009F1C8E" w:rsidRDefault="009F1C8E" w:rsidP="009F1C8E">
      <w:pPr>
        <w:pStyle w:val="Gorkinpot"/>
        <w:ind w:firstLine="708"/>
      </w:pPr>
    </w:p>
    <w:p w14:paraId="5E9C60B2" w14:textId="30366408" w:rsidR="009F1C8E" w:rsidRDefault="009F1C8E" w:rsidP="009F1C8E">
      <w:pPr>
        <w:pStyle w:val="Gorkinpot"/>
        <w:ind w:firstLine="708"/>
      </w:pPr>
    </w:p>
    <w:p w14:paraId="31A858CE" w14:textId="22639EC5" w:rsidR="009F1C8E" w:rsidRDefault="009F1C8E" w:rsidP="009F1C8E">
      <w:pPr>
        <w:pStyle w:val="Gorkinpot"/>
        <w:ind w:firstLine="708"/>
      </w:pPr>
    </w:p>
    <w:p w14:paraId="62CEAD6D" w14:textId="2DE021D7" w:rsidR="009F1C8E" w:rsidRDefault="009F1C8E" w:rsidP="009F1C8E">
      <w:pPr>
        <w:pStyle w:val="Gorkinpot"/>
        <w:ind w:firstLine="708"/>
      </w:pPr>
    </w:p>
    <w:p w14:paraId="0A7EF685" w14:textId="43C415BF" w:rsidR="009F1C8E" w:rsidRDefault="009F1C8E" w:rsidP="009F1C8E">
      <w:pPr>
        <w:pStyle w:val="Gorkinpot"/>
        <w:ind w:firstLine="708"/>
      </w:pPr>
    </w:p>
    <w:p w14:paraId="54831A86" w14:textId="449D743A" w:rsidR="009F1C8E" w:rsidRDefault="009F1C8E" w:rsidP="009F1C8E">
      <w:pPr>
        <w:pStyle w:val="Gorkinpot"/>
        <w:ind w:firstLine="708"/>
      </w:pPr>
    </w:p>
    <w:p w14:paraId="67809DF9" w14:textId="4C394F8B" w:rsidR="009F1C8E" w:rsidRDefault="009F1C8E" w:rsidP="009F1C8E">
      <w:pPr>
        <w:pStyle w:val="Gorkinpot"/>
        <w:ind w:firstLine="708"/>
      </w:pPr>
    </w:p>
    <w:p w14:paraId="647C21F1" w14:textId="092F1A02" w:rsidR="009F1C8E" w:rsidRDefault="009F1C8E" w:rsidP="009F1C8E">
      <w:pPr>
        <w:pStyle w:val="Gorkinpot"/>
        <w:ind w:firstLine="708"/>
      </w:pPr>
    </w:p>
    <w:p w14:paraId="6F057113" w14:textId="3ECFE881" w:rsidR="009F1C8E" w:rsidRDefault="009F1C8E" w:rsidP="009F1C8E">
      <w:pPr>
        <w:pStyle w:val="Gorkinpot"/>
        <w:ind w:firstLine="708"/>
      </w:pPr>
    </w:p>
    <w:p w14:paraId="2BAB1B3C" w14:textId="6E20B118" w:rsidR="009F1C8E" w:rsidRDefault="009F1C8E" w:rsidP="009F1C8E">
      <w:pPr>
        <w:pStyle w:val="Gorkinpot"/>
        <w:ind w:firstLine="708"/>
        <w:rPr>
          <w:b/>
          <w:bCs/>
        </w:rPr>
      </w:pPr>
      <w:r w:rsidRPr="009F1C8E">
        <w:rPr>
          <w:b/>
          <w:bCs/>
        </w:rPr>
        <w:lastRenderedPageBreak/>
        <w:t>Задание 1:</w:t>
      </w:r>
    </w:p>
    <w:p w14:paraId="0405EBFC" w14:textId="6C57A999" w:rsidR="009F1C8E" w:rsidRDefault="00E44923" w:rsidP="009F1C8E">
      <w:pPr>
        <w:pStyle w:val="Gorkinpot"/>
      </w:pPr>
      <w:r w:rsidRPr="00E44923">
        <w:rPr>
          <w:noProof/>
        </w:rPr>
        <w:drawing>
          <wp:inline distT="0" distB="0" distL="0" distR="0" wp14:anchorId="45A952A0" wp14:editId="7D4C1F3F">
            <wp:extent cx="5940425" cy="3167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5EE7" w14:textId="4F8FC7A1" w:rsidR="009F1C8E" w:rsidRDefault="009F1C8E" w:rsidP="009F1C8E">
      <w:pPr>
        <w:pStyle w:val="Gorkinpot"/>
        <w:jc w:val="center"/>
        <w:rPr>
          <w:sz w:val="24"/>
        </w:rPr>
      </w:pPr>
      <w:r w:rsidRPr="009F1C8E">
        <w:rPr>
          <w:sz w:val="24"/>
        </w:rPr>
        <w:t>Рисунок 1 – модель процесса “Обеспечить оплату счета поставщика”</w:t>
      </w:r>
    </w:p>
    <w:p w14:paraId="59EA3A76" w14:textId="77777777" w:rsidR="009F1C8E" w:rsidRPr="009F1C8E" w:rsidRDefault="009F1C8E" w:rsidP="009F1C8E">
      <w:pPr>
        <w:pStyle w:val="Gorkinpot"/>
        <w:jc w:val="center"/>
        <w:rPr>
          <w:sz w:val="24"/>
        </w:rPr>
      </w:pPr>
    </w:p>
    <w:p w14:paraId="6070F7F0" w14:textId="4CA57EFF" w:rsidR="009F1C8E" w:rsidRDefault="009F1C8E" w:rsidP="009F1C8E">
      <w:pPr>
        <w:pStyle w:val="Gorkinpot"/>
        <w:ind w:firstLine="708"/>
        <w:rPr>
          <w:b/>
          <w:bCs/>
        </w:rPr>
      </w:pPr>
      <w:r w:rsidRPr="009F1C8E">
        <w:rPr>
          <w:b/>
          <w:bCs/>
        </w:rPr>
        <w:t xml:space="preserve">Задание </w:t>
      </w:r>
      <w:r>
        <w:rPr>
          <w:b/>
          <w:bCs/>
        </w:rPr>
        <w:t>2</w:t>
      </w:r>
      <w:r w:rsidRPr="009F1C8E">
        <w:rPr>
          <w:b/>
          <w:bCs/>
        </w:rPr>
        <w:t>:</w:t>
      </w:r>
    </w:p>
    <w:p w14:paraId="5C2A3765" w14:textId="0269AF9C" w:rsidR="009F1C8E" w:rsidRDefault="00E44923" w:rsidP="009F1C8E">
      <w:pPr>
        <w:pStyle w:val="Gorkinpot"/>
        <w:jc w:val="center"/>
        <w:rPr>
          <w:b/>
          <w:bCs/>
        </w:rPr>
      </w:pPr>
      <w:r w:rsidRPr="00E44923">
        <w:rPr>
          <w:b/>
          <w:bCs/>
        </w:rPr>
        <w:drawing>
          <wp:inline distT="0" distB="0" distL="0" distR="0" wp14:anchorId="2B82B28A" wp14:editId="6CEFEB3D">
            <wp:extent cx="5940425" cy="24225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360B" w14:textId="3FCAA822" w:rsidR="009F1C8E" w:rsidRPr="009F1C8E" w:rsidRDefault="009F1C8E" w:rsidP="009F1C8E">
      <w:pPr>
        <w:pStyle w:val="Gorkinpot"/>
        <w:jc w:val="center"/>
        <w:rPr>
          <w:sz w:val="24"/>
        </w:rPr>
      </w:pPr>
      <w:r w:rsidRPr="009F1C8E">
        <w:rPr>
          <w:sz w:val="24"/>
        </w:rPr>
        <w:t xml:space="preserve">Рисунок </w:t>
      </w:r>
      <w:r>
        <w:rPr>
          <w:sz w:val="24"/>
        </w:rPr>
        <w:t>2</w:t>
      </w:r>
      <w:r w:rsidRPr="009F1C8E">
        <w:rPr>
          <w:sz w:val="24"/>
        </w:rPr>
        <w:t xml:space="preserve"> – модель процесса “</w:t>
      </w:r>
      <w:r>
        <w:rPr>
          <w:sz w:val="24"/>
        </w:rPr>
        <w:t>Обработать заказ клиента</w:t>
      </w:r>
      <w:r w:rsidRPr="009F1C8E">
        <w:rPr>
          <w:sz w:val="24"/>
        </w:rPr>
        <w:t>”</w:t>
      </w:r>
    </w:p>
    <w:p w14:paraId="2AC5B93B" w14:textId="77777777" w:rsidR="009F1C8E" w:rsidRDefault="009F1C8E" w:rsidP="009F1C8E">
      <w:pPr>
        <w:pStyle w:val="Gorkinpot"/>
        <w:ind w:firstLine="708"/>
        <w:rPr>
          <w:b/>
          <w:bCs/>
        </w:rPr>
      </w:pPr>
    </w:p>
    <w:p w14:paraId="3FA781E3" w14:textId="77777777" w:rsidR="009F1C8E" w:rsidRDefault="009F1C8E" w:rsidP="009F1C8E">
      <w:pPr>
        <w:pStyle w:val="Gorkinpot"/>
        <w:ind w:firstLine="708"/>
        <w:rPr>
          <w:b/>
          <w:bCs/>
        </w:rPr>
      </w:pPr>
    </w:p>
    <w:p w14:paraId="55B8BB48" w14:textId="77777777" w:rsidR="009F1C8E" w:rsidRDefault="009F1C8E" w:rsidP="009F1C8E">
      <w:pPr>
        <w:pStyle w:val="Gorkinpot"/>
        <w:rPr>
          <w:b/>
          <w:bCs/>
        </w:rPr>
      </w:pPr>
    </w:p>
    <w:p w14:paraId="5ED56075" w14:textId="5A4CE5B8" w:rsidR="009F1C8E" w:rsidRDefault="009F1C8E" w:rsidP="009F1C8E">
      <w:pPr>
        <w:pStyle w:val="Gorkinpot"/>
        <w:ind w:firstLine="708"/>
        <w:rPr>
          <w:b/>
          <w:bCs/>
        </w:rPr>
      </w:pPr>
      <w:r w:rsidRPr="009F1C8E">
        <w:rPr>
          <w:b/>
          <w:bCs/>
        </w:rPr>
        <w:lastRenderedPageBreak/>
        <w:t xml:space="preserve">Задание </w:t>
      </w:r>
      <w:r>
        <w:rPr>
          <w:b/>
          <w:bCs/>
        </w:rPr>
        <w:t>3</w:t>
      </w:r>
      <w:r w:rsidRPr="009F1C8E">
        <w:rPr>
          <w:b/>
          <w:bCs/>
        </w:rPr>
        <w:t>:</w:t>
      </w:r>
    </w:p>
    <w:p w14:paraId="3B034E17" w14:textId="5B61FDEE" w:rsidR="009F1C8E" w:rsidRDefault="00E44923" w:rsidP="009F1C8E">
      <w:pPr>
        <w:pStyle w:val="Gorkinpot"/>
        <w:rPr>
          <w:b/>
          <w:bCs/>
        </w:rPr>
      </w:pPr>
      <w:r w:rsidRPr="00E44923">
        <w:rPr>
          <w:b/>
          <w:bCs/>
        </w:rPr>
        <w:drawing>
          <wp:inline distT="0" distB="0" distL="0" distR="0" wp14:anchorId="59578D71" wp14:editId="61576EDC">
            <wp:extent cx="5940425" cy="3070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7E29" w14:textId="0D74F3ED" w:rsidR="009F1C8E" w:rsidRPr="009F1C8E" w:rsidRDefault="009F1C8E" w:rsidP="009F1C8E">
      <w:pPr>
        <w:pStyle w:val="Gorkinpot"/>
        <w:jc w:val="center"/>
        <w:rPr>
          <w:sz w:val="24"/>
        </w:rPr>
      </w:pPr>
      <w:r w:rsidRPr="009F1C8E">
        <w:rPr>
          <w:sz w:val="24"/>
        </w:rPr>
        <w:t xml:space="preserve">Рисунок </w:t>
      </w:r>
      <w:r>
        <w:rPr>
          <w:sz w:val="24"/>
        </w:rPr>
        <w:t>3</w:t>
      </w:r>
      <w:r w:rsidRPr="009F1C8E">
        <w:rPr>
          <w:sz w:val="24"/>
        </w:rPr>
        <w:t xml:space="preserve"> – модель процесса “</w:t>
      </w:r>
      <w:r>
        <w:rPr>
          <w:sz w:val="24"/>
        </w:rPr>
        <w:t>Процесс управления проектами</w:t>
      </w:r>
      <w:r w:rsidRPr="009F1C8E">
        <w:rPr>
          <w:sz w:val="24"/>
        </w:rPr>
        <w:t>”</w:t>
      </w:r>
    </w:p>
    <w:p w14:paraId="25748971" w14:textId="77777777" w:rsidR="009F1C8E" w:rsidRDefault="009F1C8E" w:rsidP="009F1C8E">
      <w:pPr>
        <w:pStyle w:val="Gorkinpot"/>
        <w:ind w:firstLine="708"/>
        <w:rPr>
          <w:b/>
          <w:bCs/>
        </w:rPr>
      </w:pPr>
    </w:p>
    <w:p w14:paraId="6112164F" w14:textId="5CA0F219" w:rsidR="009F1C8E" w:rsidRDefault="009F1C8E" w:rsidP="009F1C8E">
      <w:pPr>
        <w:pStyle w:val="Gorkinpot"/>
        <w:ind w:firstLine="708"/>
        <w:rPr>
          <w:b/>
          <w:bCs/>
        </w:rPr>
      </w:pPr>
      <w:r w:rsidRPr="009F1C8E">
        <w:rPr>
          <w:b/>
          <w:bCs/>
        </w:rPr>
        <w:t xml:space="preserve">Задание </w:t>
      </w:r>
      <w:r>
        <w:rPr>
          <w:b/>
          <w:bCs/>
        </w:rPr>
        <w:t>4</w:t>
      </w:r>
      <w:r w:rsidRPr="009F1C8E">
        <w:rPr>
          <w:b/>
          <w:bCs/>
        </w:rPr>
        <w:t>:</w:t>
      </w:r>
    </w:p>
    <w:p w14:paraId="3CC0F519" w14:textId="678450D1" w:rsidR="009F1C8E" w:rsidRDefault="00E44923" w:rsidP="009F1C8E">
      <w:pPr>
        <w:pStyle w:val="Gorkinpot"/>
        <w:rPr>
          <w:rFonts w:eastAsiaTheme="majorEastAsia"/>
        </w:rPr>
      </w:pPr>
      <w:r w:rsidRPr="00E44923">
        <w:rPr>
          <w:rFonts w:eastAsiaTheme="majorEastAsia"/>
        </w:rPr>
        <w:drawing>
          <wp:inline distT="0" distB="0" distL="0" distR="0" wp14:anchorId="5A1D626D" wp14:editId="0BF0101E">
            <wp:extent cx="5940425" cy="1628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1D0C9" w14:textId="47E44579" w:rsidR="009F1C8E" w:rsidRDefault="009F1C8E" w:rsidP="009F1C8E">
      <w:pPr>
        <w:pStyle w:val="Gorkinpot"/>
        <w:jc w:val="center"/>
        <w:rPr>
          <w:sz w:val="24"/>
        </w:rPr>
      </w:pPr>
      <w:r w:rsidRPr="009F1C8E">
        <w:rPr>
          <w:sz w:val="24"/>
        </w:rPr>
        <w:t xml:space="preserve">Рисунок </w:t>
      </w:r>
      <w:r>
        <w:rPr>
          <w:sz w:val="24"/>
        </w:rPr>
        <w:t>4</w:t>
      </w:r>
      <w:r w:rsidRPr="009F1C8E">
        <w:rPr>
          <w:sz w:val="24"/>
        </w:rPr>
        <w:t xml:space="preserve"> – модель процесса “</w:t>
      </w:r>
      <w:r>
        <w:rPr>
          <w:sz w:val="24"/>
        </w:rPr>
        <w:t>Планировать работу проекта</w:t>
      </w:r>
    </w:p>
    <w:p w14:paraId="17ED42FD" w14:textId="77777777" w:rsidR="009F1C8E" w:rsidRPr="009F1C8E" w:rsidRDefault="009F1C8E" w:rsidP="009F1C8E">
      <w:pPr>
        <w:pStyle w:val="Gorkinpot"/>
        <w:rPr>
          <w:sz w:val="24"/>
        </w:rPr>
      </w:pPr>
    </w:p>
    <w:p w14:paraId="1E36C0DD" w14:textId="6ECA865F" w:rsidR="00E470C5" w:rsidRPr="00432E35" w:rsidRDefault="00E470C5" w:rsidP="00D11B1F">
      <w:pPr>
        <w:keepNext/>
        <w:keepLines/>
        <w:spacing w:after="0" w:line="360" w:lineRule="auto"/>
        <w:ind w:left="709"/>
        <w:jc w:val="center"/>
        <w:outlineLvl w:val="1"/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</w:pPr>
      <w:r w:rsidRPr="00432E35">
        <w:rPr>
          <w:rFonts w:ascii="Times New Roman" w:eastAsiaTheme="majorEastAsia" w:hAnsi="Times New Roman" w:cstheme="majorBidi"/>
          <w:b/>
          <w:color w:val="000000" w:themeColor="text1"/>
          <w:sz w:val="32"/>
          <w:szCs w:val="26"/>
        </w:rPr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</w:t>
      </w: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t>бизнес-процессов [Электронный ресурс]: Учебник и практикум для вузов. - Москва: Юрайт,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3. 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https://urait.ru/bcode/469152</w:t>
      </w:r>
    </w:p>
    <w:p w14:paraId="4BE80315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4. 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p w14:paraId="1ECB10ED" w14:textId="77777777" w:rsidR="00E470C5" w:rsidRDefault="00E470C5" w:rsidP="00E470C5">
      <w:pPr>
        <w:spacing w:after="0" w:line="360" w:lineRule="auto"/>
      </w:pPr>
    </w:p>
    <w:p w14:paraId="6F5514D5" w14:textId="77777777" w:rsidR="00E470C5" w:rsidRDefault="00E470C5" w:rsidP="00E470C5">
      <w:pPr>
        <w:spacing w:after="0" w:line="360" w:lineRule="auto"/>
      </w:pPr>
    </w:p>
    <w:p w14:paraId="2E0D2D2F" w14:textId="77777777" w:rsidR="00E470C5" w:rsidRDefault="00E470C5" w:rsidP="00E470C5"/>
    <w:p w14:paraId="4A8B3D04" w14:textId="77777777" w:rsidR="00E470C5" w:rsidRDefault="00E470C5" w:rsidP="00E470C5"/>
    <w:p w14:paraId="43B64804" w14:textId="77777777" w:rsidR="002D45C7" w:rsidRDefault="002D45C7"/>
    <w:sectPr w:rsidR="002D4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254883"/>
    <w:rsid w:val="002858E9"/>
    <w:rsid w:val="002D45C7"/>
    <w:rsid w:val="004F61D3"/>
    <w:rsid w:val="008F0819"/>
    <w:rsid w:val="0090279A"/>
    <w:rsid w:val="009F1C8E"/>
    <w:rsid w:val="00CC424A"/>
    <w:rsid w:val="00D11B1F"/>
    <w:rsid w:val="00E44923"/>
    <w:rsid w:val="00E470C5"/>
    <w:rsid w:val="00F5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5</cp:revision>
  <dcterms:created xsi:type="dcterms:W3CDTF">2024-10-26T12:01:00Z</dcterms:created>
  <dcterms:modified xsi:type="dcterms:W3CDTF">2024-11-16T16:33:00Z</dcterms:modified>
</cp:coreProperties>
</file>