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70AA8" w14:textId="6BCC7124" w:rsidR="00AF1C6E" w:rsidRDefault="00AF1C6E" w:rsidP="00AF1C6E">
      <w:pPr>
        <w:jc w:val="center"/>
        <w:rPr>
          <w:b/>
          <w:bCs/>
          <w:sz w:val="28"/>
          <w:szCs w:val="28"/>
        </w:rPr>
      </w:pPr>
      <w:r w:rsidRPr="00AF1C6E">
        <w:rPr>
          <w:b/>
          <w:bCs/>
          <w:sz w:val="28"/>
          <w:szCs w:val="28"/>
        </w:rPr>
        <w:t>Темы, выносимые на кр 3</w:t>
      </w:r>
    </w:p>
    <w:p w14:paraId="1D1D5297" w14:textId="77777777" w:rsidR="00AF1C6E" w:rsidRPr="00AF1C6E" w:rsidRDefault="00AF1C6E" w:rsidP="00AF1C6E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41"/>
        <w:gridCol w:w="8914"/>
      </w:tblGrid>
      <w:tr w:rsidR="00AF1C6E" w14:paraId="7152068A" w14:textId="77777777" w:rsidTr="00AF1C6E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2AD5B855" w14:textId="77777777" w:rsidR="00AF1C6E" w:rsidRDefault="00AF1C6E">
            <w:pPr>
              <w:jc w:val="right"/>
              <w:rPr>
                <w:b/>
                <w:bCs/>
                <w:color w:val="444444"/>
              </w:rPr>
            </w:pPr>
            <w:r>
              <w:rPr>
                <w:b/>
                <w:bCs/>
                <w:color w:val="444444"/>
              </w:rPr>
              <w:t>14.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640D67BF" w14:textId="77777777" w:rsidR="00AF1C6E" w:rsidRDefault="00AF1C6E">
            <w:pPr>
              <w:rPr>
                <w:color w:val="111111"/>
              </w:rPr>
            </w:pPr>
            <w:r>
              <w:rPr>
                <w:b/>
                <w:bCs/>
                <w:color w:val="111111"/>
              </w:rPr>
              <w:t>Тема 14. Гетероскедастичность</w:t>
            </w:r>
            <w:r>
              <w:rPr>
                <w:color w:val="111111"/>
              </w:rPr>
              <w:br/>
              <w:t xml:space="preserve">Нарушение гипотезы о гомоскедастичности ошибок регрессии. Последствия гетероскедастичности для оценок коэффициентов регрессии методом наименьших квадратов и проверки статистических гипотез. Тесты на выявление гетероскедастичности. Оценивание при наличии гетероскедастичности. Взвешенный метод наименьших квадратов. Обобщенный метод наименьших квадратов. Робастные стандартные ошибки оценок коэффициентов регрессии в форме Уайта (White). </w:t>
            </w:r>
          </w:p>
        </w:tc>
      </w:tr>
      <w:tr w:rsidR="00AF1C6E" w14:paraId="41697DAD" w14:textId="77777777" w:rsidTr="00AF1C6E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72D1DB82" w14:textId="77777777" w:rsidR="00AF1C6E" w:rsidRDefault="00AF1C6E">
            <w:pPr>
              <w:jc w:val="right"/>
              <w:rPr>
                <w:b/>
                <w:bCs/>
                <w:color w:val="444444"/>
              </w:rPr>
            </w:pPr>
            <w:r>
              <w:rPr>
                <w:b/>
                <w:bCs/>
                <w:color w:val="444444"/>
              </w:rPr>
              <w:t>15.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77DF0255" w14:textId="77777777" w:rsidR="00AF1C6E" w:rsidRDefault="00AF1C6E">
            <w:pPr>
              <w:rPr>
                <w:color w:val="111111"/>
              </w:rPr>
            </w:pPr>
            <w:r>
              <w:rPr>
                <w:b/>
                <w:bCs/>
                <w:color w:val="111111"/>
              </w:rPr>
              <w:t>Тема 15. Метод максимального правдоподобия. Тесты Вальда, отношения правдоподобия, множителей Лагранжа</w:t>
            </w:r>
            <w:r>
              <w:rPr>
                <w:color w:val="111111"/>
              </w:rPr>
              <w:br/>
              <w:t>Метод максимального правдоподобия. Свойства оценок метода максимального правдоподобия. Соотношение между оценками коэффициентов линейной регрессии, полученными методом максимального правдоподобия и методом наименьших квадратов в случае нормально распределенной случайной составляющей. Свойства оценки дисперсии случайной составляющей, полученной методом максимального правдоподобия. Проверка гипотез с помощью теста Вальда, теста отношения правдоподобия, теста множителей Лагранжа.</w:t>
            </w:r>
          </w:p>
        </w:tc>
      </w:tr>
      <w:tr w:rsidR="00AF1C6E" w14:paraId="3515F2BF" w14:textId="77777777" w:rsidTr="00AF1C6E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07072700" w14:textId="77777777" w:rsidR="00AF1C6E" w:rsidRDefault="00AF1C6E">
            <w:pPr>
              <w:jc w:val="right"/>
              <w:rPr>
                <w:b/>
                <w:bCs/>
                <w:color w:val="444444"/>
              </w:rPr>
            </w:pPr>
            <w:r>
              <w:rPr>
                <w:b/>
                <w:bCs/>
                <w:color w:val="444444"/>
              </w:rPr>
              <w:t>16.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386FD39D" w14:textId="77777777" w:rsidR="00AF1C6E" w:rsidRDefault="00AF1C6E">
            <w:pPr>
              <w:rPr>
                <w:color w:val="111111"/>
              </w:rPr>
            </w:pPr>
            <w:r>
              <w:rPr>
                <w:b/>
                <w:bCs/>
                <w:color w:val="111111"/>
              </w:rPr>
              <w:t>Тема 16. Бинарные объясняемые переменные. Логит и пробит модели</w:t>
            </w:r>
            <w:r>
              <w:rPr>
                <w:color w:val="111111"/>
              </w:rPr>
              <w:br/>
              <w:t>Бинарные объясняемые переменные. Модель линейной вероятности. Логит и Пробит модели, их оценивание. Интерпретация результатов оценивания моделей с бинарными зависимыми переменными. Показатели качества оценки моделей бинарного выбора.</w:t>
            </w:r>
          </w:p>
        </w:tc>
      </w:tr>
      <w:tr w:rsidR="00AF1C6E" w14:paraId="715209CB" w14:textId="77777777" w:rsidTr="00AF1C6E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260E5285" w14:textId="77777777" w:rsidR="00AF1C6E" w:rsidRDefault="00AF1C6E">
            <w:pPr>
              <w:jc w:val="right"/>
              <w:rPr>
                <w:b/>
                <w:bCs/>
                <w:color w:val="444444"/>
              </w:rPr>
            </w:pPr>
            <w:r>
              <w:rPr>
                <w:b/>
                <w:bCs/>
                <w:color w:val="444444"/>
              </w:rPr>
              <w:t>17.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0E807696" w14:textId="77777777" w:rsidR="00AF1C6E" w:rsidRDefault="00AF1C6E">
            <w:pPr>
              <w:rPr>
                <w:color w:val="111111"/>
              </w:rPr>
            </w:pPr>
            <w:r>
              <w:rPr>
                <w:b/>
                <w:bCs/>
                <w:color w:val="111111"/>
              </w:rPr>
              <w:t>Тема 17. Стохастические регрессоры. Эндогенность. Инструментальные переменные</w:t>
            </w:r>
            <w:r>
              <w:rPr>
                <w:color w:val="111111"/>
              </w:rPr>
              <w:br/>
              <w:t>Линейная регрессия в случае стохастических регрессоров. Обобщение теоремы Гаусса-Маркова на случай стохастических регрессоров. Проблема эндогенности, несостоятельность оценок МНК. Метод инструментальных переменных. Двухшаговый МНК. Проверка необходимости использования инструментов. Тесты Хаусмана и Ву-Хаусмана. Обобщенный метод моментов. Проверка валидности и релевантности инструментов. Тест на сверхидентифицирующие ограничения.</w:t>
            </w:r>
          </w:p>
        </w:tc>
      </w:tr>
      <w:tr w:rsidR="00AF1C6E" w14:paraId="43E70182" w14:textId="77777777" w:rsidTr="00AF1C6E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734E9E83" w14:textId="77777777" w:rsidR="00AF1C6E" w:rsidRDefault="00AF1C6E">
            <w:pPr>
              <w:jc w:val="right"/>
              <w:rPr>
                <w:b/>
                <w:bCs/>
                <w:color w:val="444444"/>
              </w:rPr>
            </w:pPr>
            <w:r>
              <w:rPr>
                <w:b/>
                <w:bCs/>
                <w:color w:val="444444"/>
              </w:rPr>
              <w:t>18.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2A240BD7" w14:textId="77777777" w:rsidR="00AF1C6E" w:rsidRDefault="00AF1C6E">
            <w:pPr>
              <w:rPr>
                <w:color w:val="111111"/>
              </w:rPr>
            </w:pPr>
            <w:r>
              <w:rPr>
                <w:b/>
                <w:bCs/>
                <w:color w:val="111111"/>
              </w:rPr>
              <w:t>Тема 18. Системы одновременных уравнений</w:t>
            </w:r>
            <w:r>
              <w:rPr>
                <w:color w:val="111111"/>
              </w:rPr>
              <w:br/>
              <w:t>Системы одновременных уравнений. Структурная и приведенная форма уравнений. Проблема идентифицируемости. Оценивание систем одновременных уравнений. Условие порядка и условие ранга. Косвенный метод наименьших квадратов. Двухшаговый метод наименьших квадратов.</w:t>
            </w:r>
          </w:p>
        </w:tc>
      </w:tr>
      <w:tr w:rsidR="00AF1C6E" w14:paraId="56FB168E" w14:textId="77777777" w:rsidTr="00487794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1031C03B" w14:textId="77777777" w:rsidR="00AF1C6E" w:rsidRDefault="00AF1C6E">
            <w:pPr>
              <w:jc w:val="right"/>
              <w:rPr>
                <w:b/>
                <w:bCs/>
                <w:color w:val="444444"/>
              </w:rPr>
            </w:pPr>
            <w:r>
              <w:rPr>
                <w:b/>
                <w:bCs/>
                <w:color w:val="444444"/>
              </w:rPr>
              <w:t>19.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</w:tcPr>
          <w:p w14:paraId="5FA84F67" w14:textId="4583143D" w:rsidR="00AF1C6E" w:rsidRDefault="00AF1C6E">
            <w:pPr>
              <w:rPr>
                <w:color w:val="111111"/>
              </w:rPr>
            </w:pPr>
          </w:p>
        </w:tc>
      </w:tr>
      <w:tr w:rsidR="00AF1C6E" w14:paraId="262FB010" w14:textId="77777777" w:rsidTr="00AF1C6E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</w:tcPr>
          <w:p w14:paraId="799D3440" w14:textId="77777777" w:rsidR="00AF1C6E" w:rsidRDefault="00AF1C6E">
            <w:pPr>
              <w:jc w:val="right"/>
              <w:rPr>
                <w:b/>
                <w:bCs/>
                <w:color w:val="444444"/>
                <w:highlight w:val="yellow"/>
              </w:rPr>
            </w:pP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</w:tcPr>
          <w:p w14:paraId="1EEA8652" w14:textId="77777777" w:rsidR="00AF1C6E" w:rsidRDefault="00AF1C6E">
            <w:pPr>
              <w:rPr>
                <w:color w:val="111111"/>
              </w:rPr>
            </w:pPr>
          </w:p>
        </w:tc>
      </w:tr>
      <w:tr w:rsidR="00AF1C6E" w14:paraId="7F08C0E7" w14:textId="77777777" w:rsidTr="00487794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0E82191A" w14:textId="77777777" w:rsidR="00AF1C6E" w:rsidRDefault="00AF1C6E">
            <w:pPr>
              <w:jc w:val="right"/>
              <w:rPr>
                <w:b/>
                <w:bCs/>
                <w:color w:val="444444"/>
              </w:rPr>
            </w:pPr>
            <w:r>
              <w:rPr>
                <w:b/>
                <w:bCs/>
                <w:color w:val="444444"/>
              </w:rPr>
              <w:t>20.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</w:tcPr>
          <w:p w14:paraId="3009B245" w14:textId="50AC3004" w:rsidR="00AF1C6E" w:rsidRDefault="00AF1C6E">
            <w:pPr>
              <w:rPr>
                <w:color w:val="111111"/>
                <w:lang w:val="en-US"/>
              </w:rPr>
            </w:pPr>
          </w:p>
        </w:tc>
      </w:tr>
      <w:tr w:rsidR="00AF1C6E" w14:paraId="1128EBA5" w14:textId="77777777" w:rsidTr="00487794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0DDD54D5" w14:textId="77777777" w:rsidR="00AF1C6E" w:rsidRDefault="00AF1C6E">
            <w:pPr>
              <w:jc w:val="right"/>
              <w:rPr>
                <w:b/>
                <w:bCs/>
                <w:color w:val="444444"/>
              </w:rPr>
            </w:pPr>
            <w:r>
              <w:rPr>
                <w:b/>
                <w:bCs/>
                <w:color w:val="444444"/>
              </w:rPr>
              <w:t>21.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</w:tcPr>
          <w:p w14:paraId="7F0C2D0B" w14:textId="78BAEAB5" w:rsidR="00AF1C6E" w:rsidRDefault="00AF1C6E">
            <w:pPr>
              <w:rPr>
                <w:color w:val="111111"/>
              </w:rPr>
            </w:pPr>
          </w:p>
        </w:tc>
      </w:tr>
      <w:tr w:rsidR="00AF1C6E" w14:paraId="6E221E74" w14:textId="77777777" w:rsidTr="00487794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69E4DB1A" w14:textId="77777777" w:rsidR="00AF1C6E" w:rsidRDefault="00AF1C6E">
            <w:pPr>
              <w:jc w:val="right"/>
              <w:rPr>
                <w:b/>
                <w:bCs/>
                <w:color w:val="444444"/>
              </w:rPr>
            </w:pPr>
            <w:r>
              <w:rPr>
                <w:b/>
                <w:bCs/>
                <w:color w:val="444444"/>
              </w:rPr>
              <w:t>22.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</w:tcPr>
          <w:p w14:paraId="0BB65D33" w14:textId="35CB191E" w:rsidR="00AF1C6E" w:rsidRDefault="00AF1C6E">
            <w:pPr>
              <w:rPr>
                <w:color w:val="111111"/>
              </w:rPr>
            </w:pPr>
          </w:p>
        </w:tc>
      </w:tr>
      <w:tr w:rsidR="00AF1C6E" w14:paraId="765101B9" w14:textId="77777777" w:rsidTr="00487794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2DF7396F" w14:textId="77777777" w:rsidR="00AF1C6E" w:rsidRDefault="00AF1C6E">
            <w:pPr>
              <w:jc w:val="right"/>
              <w:rPr>
                <w:b/>
                <w:bCs/>
                <w:color w:val="444444"/>
              </w:rPr>
            </w:pPr>
            <w:r>
              <w:rPr>
                <w:b/>
                <w:bCs/>
                <w:color w:val="444444"/>
              </w:rPr>
              <w:t>23.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</w:tcPr>
          <w:p w14:paraId="00632361" w14:textId="4B8F5503" w:rsidR="00AF1C6E" w:rsidRDefault="00AF1C6E">
            <w:pPr>
              <w:rPr>
                <w:color w:val="111111"/>
              </w:rPr>
            </w:pPr>
          </w:p>
        </w:tc>
      </w:tr>
      <w:tr w:rsidR="00AF1C6E" w14:paraId="42E75322" w14:textId="77777777" w:rsidTr="00AF1C6E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1CBC0CF9" w14:textId="77777777" w:rsidR="00AF1C6E" w:rsidRDefault="00AF1C6E">
            <w:pPr>
              <w:jc w:val="right"/>
              <w:rPr>
                <w:b/>
                <w:bCs/>
                <w:color w:val="444444"/>
              </w:rPr>
            </w:pPr>
            <w:r>
              <w:rPr>
                <w:b/>
                <w:bCs/>
                <w:color w:val="444444"/>
              </w:rPr>
              <w:lastRenderedPageBreak/>
              <w:t>24.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754A6A92" w14:textId="77777777" w:rsidR="00AF1C6E" w:rsidRDefault="00AF1C6E">
            <w:pPr>
              <w:rPr>
                <w:color w:val="111111"/>
              </w:rPr>
            </w:pPr>
            <w:r>
              <w:rPr>
                <w:b/>
                <w:bCs/>
                <w:color w:val="111111"/>
              </w:rPr>
              <w:t xml:space="preserve">Тема 24. Знакомство с моделями множественного выбора (дополнительная тема) </w:t>
            </w:r>
            <w:r>
              <w:rPr>
                <w:color w:val="111111"/>
              </w:rPr>
              <w:br/>
              <w:t>Порядковые модели (ordered models). Мультиноми</w:t>
            </w:r>
            <w:proofErr w:type="spellStart"/>
            <w:r>
              <w:rPr>
                <w:color w:val="111111"/>
                <w:lang w:val="en-US"/>
              </w:rPr>
              <w:t>aльные</w:t>
            </w:r>
            <w:proofErr w:type="spellEnd"/>
            <w:r>
              <w:rPr>
                <w:color w:val="111111"/>
                <w:lang w:val="en-US"/>
              </w:rPr>
              <w:t xml:space="preserve"> </w:t>
            </w:r>
            <w:proofErr w:type="spellStart"/>
            <w:r>
              <w:rPr>
                <w:color w:val="111111"/>
                <w:lang w:val="en-US"/>
              </w:rPr>
              <w:t>модели</w:t>
            </w:r>
            <w:proofErr w:type="spellEnd"/>
            <w:r>
              <w:rPr>
                <w:color w:val="111111"/>
                <w:lang w:val="en-US"/>
              </w:rPr>
              <w:t>.</w:t>
            </w:r>
          </w:p>
        </w:tc>
      </w:tr>
      <w:tr w:rsidR="00AF1C6E" w14:paraId="593D4037" w14:textId="77777777" w:rsidTr="00AF1C6E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3F6D0F00" w14:textId="77777777" w:rsidR="00AF1C6E" w:rsidRDefault="00AF1C6E">
            <w:pPr>
              <w:jc w:val="right"/>
              <w:rPr>
                <w:b/>
                <w:bCs/>
                <w:color w:val="444444"/>
              </w:rPr>
            </w:pPr>
            <w:r>
              <w:rPr>
                <w:b/>
                <w:bCs/>
                <w:color w:val="444444"/>
              </w:rPr>
              <w:t>25.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55E5500F" w14:textId="77777777" w:rsidR="00AF1C6E" w:rsidRDefault="00AF1C6E">
            <w:pPr>
              <w:rPr>
                <w:color w:val="111111"/>
              </w:rPr>
            </w:pPr>
            <w:r>
              <w:rPr>
                <w:b/>
                <w:bCs/>
                <w:color w:val="111111"/>
              </w:rPr>
              <w:t>Тема 25. Знакомство с моделями с ограниченными значениями зависимой переменной (дополнительная тема)</w:t>
            </w:r>
            <w:r>
              <w:rPr>
                <w:color w:val="111111"/>
              </w:rPr>
              <w:br/>
              <w:t>Модель Тобина. Модель Хекмана.</w:t>
            </w:r>
          </w:p>
        </w:tc>
      </w:tr>
      <w:tr w:rsidR="00AF1C6E" w14:paraId="4DD6B817" w14:textId="77777777" w:rsidTr="00487794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1DD565FC" w14:textId="77777777" w:rsidR="00AF1C6E" w:rsidRDefault="00AF1C6E">
            <w:pPr>
              <w:jc w:val="right"/>
              <w:rPr>
                <w:b/>
                <w:bCs/>
                <w:color w:val="444444"/>
              </w:rPr>
            </w:pPr>
            <w:r>
              <w:rPr>
                <w:b/>
                <w:bCs/>
                <w:color w:val="444444"/>
              </w:rPr>
              <w:t>26.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</w:tcPr>
          <w:p w14:paraId="1EB62C85" w14:textId="6C1DA560" w:rsidR="00AF1C6E" w:rsidRDefault="00AF1C6E">
            <w:pPr>
              <w:rPr>
                <w:color w:val="111111"/>
              </w:rPr>
            </w:pPr>
          </w:p>
        </w:tc>
      </w:tr>
      <w:tr w:rsidR="00AF1C6E" w14:paraId="1E97DFBD" w14:textId="77777777" w:rsidTr="00487794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41613906" w14:textId="77777777" w:rsidR="00AF1C6E" w:rsidRDefault="00AF1C6E">
            <w:pPr>
              <w:jc w:val="right"/>
              <w:rPr>
                <w:b/>
                <w:bCs/>
                <w:color w:val="444444"/>
              </w:rPr>
            </w:pPr>
            <w:r>
              <w:rPr>
                <w:b/>
                <w:bCs/>
                <w:color w:val="444444"/>
              </w:rPr>
              <w:t>27.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</w:tcPr>
          <w:p w14:paraId="49D57FE2" w14:textId="54BD2802" w:rsidR="00AF1C6E" w:rsidRDefault="00AF1C6E">
            <w:pPr>
              <w:rPr>
                <w:color w:val="111111"/>
              </w:rPr>
            </w:pPr>
          </w:p>
        </w:tc>
      </w:tr>
      <w:tr w:rsidR="00AF1C6E" w14:paraId="25E7D749" w14:textId="77777777" w:rsidTr="00487794">
        <w:trPr>
          <w:tblCellSpacing w:w="15" w:type="dxa"/>
        </w:trPr>
        <w:tc>
          <w:tcPr>
            <w:tcW w:w="0" w:type="auto"/>
            <w:noWrap/>
            <w:tcMar>
              <w:top w:w="48" w:type="dxa"/>
              <w:left w:w="48" w:type="dxa"/>
              <w:bottom w:w="96" w:type="dxa"/>
              <w:right w:w="48" w:type="dxa"/>
            </w:tcMar>
            <w:hideMark/>
          </w:tcPr>
          <w:p w14:paraId="436F18F2" w14:textId="77777777" w:rsidR="00AF1C6E" w:rsidRDefault="00AF1C6E">
            <w:pPr>
              <w:jc w:val="right"/>
              <w:rPr>
                <w:b/>
                <w:bCs/>
                <w:color w:val="444444"/>
              </w:rPr>
            </w:pPr>
            <w:r>
              <w:rPr>
                <w:b/>
                <w:bCs/>
                <w:color w:val="444444"/>
              </w:rPr>
              <w:t>28.</w:t>
            </w:r>
          </w:p>
        </w:tc>
        <w:tc>
          <w:tcPr>
            <w:tcW w:w="0" w:type="auto"/>
            <w:tcMar>
              <w:top w:w="48" w:type="dxa"/>
              <w:left w:w="48" w:type="dxa"/>
              <w:bottom w:w="96" w:type="dxa"/>
              <w:right w:w="48" w:type="dxa"/>
            </w:tcMar>
          </w:tcPr>
          <w:p w14:paraId="181CDA1A" w14:textId="77B4BF59" w:rsidR="00AF1C6E" w:rsidRDefault="00AF1C6E">
            <w:pPr>
              <w:rPr>
                <w:color w:val="111111"/>
              </w:rPr>
            </w:pPr>
          </w:p>
        </w:tc>
      </w:tr>
    </w:tbl>
    <w:p w14:paraId="4A3ADC11" w14:textId="77777777" w:rsidR="00AF1C6E" w:rsidRDefault="00AF1C6E" w:rsidP="00AF1C6E">
      <w:pPr>
        <w:pStyle w:val="Heading4"/>
        <w:pBdr>
          <w:bottom w:val="single" w:sz="12" w:space="6" w:color="00659A"/>
        </w:pBdr>
        <w:shd w:val="clear" w:color="auto" w:fill="FFFFFF"/>
        <w:spacing w:before="0" w:beforeAutospacing="0" w:after="120" w:afterAutospacing="0"/>
        <w:rPr>
          <w:rFonts w:ascii="Arial" w:eastAsia="SimSun" w:hAnsi="Arial" w:cs="Arial"/>
          <w:caps/>
          <w:color w:val="00659A"/>
          <w:sz w:val="30"/>
          <w:szCs w:val="30"/>
        </w:rPr>
      </w:pPr>
    </w:p>
    <w:p w14:paraId="42129A54" w14:textId="77777777" w:rsidR="009F3A11" w:rsidRPr="00AF1C6E" w:rsidRDefault="009F3A11" w:rsidP="00AF1C6E"/>
    <w:sectPr w:rsidR="009F3A11" w:rsidRPr="00AF1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6E"/>
    <w:rsid w:val="00155889"/>
    <w:rsid w:val="0023422B"/>
    <w:rsid w:val="00253B51"/>
    <w:rsid w:val="00487794"/>
    <w:rsid w:val="00550EE4"/>
    <w:rsid w:val="00731718"/>
    <w:rsid w:val="009F3A11"/>
    <w:rsid w:val="00AF1C6E"/>
    <w:rsid w:val="00DC4CB3"/>
    <w:rsid w:val="00E40AFA"/>
    <w:rsid w:val="00F6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22475"/>
  <w15:chartTrackingRefBased/>
  <w15:docId w15:val="{82BAA7F8-59BC-4484-8651-6424C663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C6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4">
    <w:name w:val="heading 4"/>
    <w:basedOn w:val="Normal"/>
    <w:link w:val="Heading4Char"/>
    <w:semiHidden/>
    <w:unhideWhenUsed/>
    <w:qFormat/>
    <w:rsid w:val="00AF1C6E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AF1C6E"/>
    <w:rPr>
      <w:rFonts w:ascii="Times New Roman" w:eastAsia="Times New Roman" w:hAnsi="Times New Roman" w:cs="Times New Roman"/>
      <w:b/>
      <w:b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9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Демидова</dc:creator>
  <cp:keywords/>
  <dc:description/>
  <cp:lastModifiedBy>Ольга Демидова</cp:lastModifiedBy>
  <cp:revision>2</cp:revision>
  <dcterms:created xsi:type="dcterms:W3CDTF">2021-03-21T19:30:00Z</dcterms:created>
  <dcterms:modified xsi:type="dcterms:W3CDTF">2021-03-21T19:33:00Z</dcterms:modified>
</cp:coreProperties>
</file>