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ellenraster"/>
        <w:tblW w:w="5000" w:type="pct"/>
        <w:jc w:val="center"/>
        <w:tblCellMar>
          <w:top w:w="85" w:type="dxa"/>
          <w:left w:w="85" w:type="dxa"/>
          <w:bottom w:w="85" w:type="dxa"/>
          <w:right w:w="85" w:type="dxa"/>
        </w:tblCellMar>
        <w:tblLook w:val="04A0" w:firstRow="1" w:lastRow="0" w:firstColumn="1" w:lastColumn="0" w:noHBand="0" w:noVBand="1"/>
      </w:tblPr>
      <w:tblGrid>
        <w:gridCol w:w="1770"/>
        <w:gridCol w:w="1681"/>
        <w:gridCol w:w="928"/>
        <w:gridCol w:w="1669"/>
        <w:gridCol w:w="1231"/>
        <w:gridCol w:w="1783"/>
      </w:tblGrid>
      <w:tr w:rsidR="00C84271" w:rsidRPr="00DF74D5" w14:paraId="25E4D651" w14:textId="77777777" w:rsidTr="00E20E5B">
        <w:trPr>
          <w:trHeight w:val="493"/>
          <w:jc w:val="center"/>
        </w:trPr>
        <w:tc>
          <w:tcPr>
            <w:tcW w:w="9062" w:type="dxa"/>
            <w:gridSpan w:val="6"/>
            <w:shd w:val="clear" w:color="auto" w:fill="EECFCE" w:themeFill="accent1" w:themeFillTint="33"/>
            <w:vAlign w:val="center"/>
          </w:tcPr>
          <w:p w14:paraId="78170341" w14:textId="77777777" w:rsidR="00C84271" w:rsidRPr="00DF74D5" w:rsidRDefault="00C84271" w:rsidP="00DF74D5">
            <w:pPr>
              <w:jc w:val="center"/>
              <w:rPr>
                <w:b/>
                <w:bCs/>
                <w:color w:val="DFDEDD" w:themeColor="text2" w:themeTint="99"/>
                <w:sz w:val="24"/>
              </w:rPr>
            </w:pPr>
            <w:r w:rsidRPr="00DF74D5">
              <w:rPr>
                <w:b/>
                <w:bCs/>
                <w:sz w:val="24"/>
              </w:rPr>
              <w:t>Marktgröße Vorjahr</w:t>
            </w:r>
          </w:p>
        </w:tc>
      </w:tr>
      <w:tr w:rsidR="00C84271" w:rsidRPr="00DF74D5" w14:paraId="69C32B53" w14:textId="77777777" w:rsidTr="00E20E5B">
        <w:trPr>
          <w:trHeight w:val="440"/>
          <w:jc w:val="center"/>
        </w:trPr>
        <w:tc>
          <w:tcPr>
            <w:tcW w:w="1770" w:type="dxa"/>
            <w:vMerge w:val="restart"/>
            <w:shd w:val="clear" w:color="auto" w:fill="EECFCE" w:themeFill="accent1" w:themeFillTint="33"/>
            <w:vAlign w:val="center"/>
          </w:tcPr>
          <w:p w14:paraId="3E6859A1" w14:textId="77777777" w:rsidR="00C84271" w:rsidRPr="00DF74D5" w:rsidRDefault="00C84271" w:rsidP="00DF74D5">
            <w:pPr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Marktsegment</w:t>
            </w:r>
          </w:p>
        </w:tc>
        <w:tc>
          <w:tcPr>
            <w:tcW w:w="1681" w:type="dxa"/>
            <w:vMerge w:val="restart"/>
            <w:shd w:val="clear" w:color="auto" w:fill="EECFCE" w:themeFill="accent1" w:themeFillTint="33"/>
            <w:vAlign w:val="center"/>
          </w:tcPr>
          <w:p w14:paraId="52225EF3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Marktvolumen</w:t>
            </w:r>
          </w:p>
          <w:p w14:paraId="0BA1609B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(Mio. €)</w:t>
            </w:r>
          </w:p>
        </w:tc>
        <w:tc>
          <w:tcPr>
            <w:tcW w:w="3828" w:type="dxa"/>
            <w:gridSpan w:val="3"/>
            <w:shd w:val="clear" w:color="auto" w:fill="EECFCE" w:themeFill="accent1" w:themeFillTint="33"/>
            <w:vAlign w:val="center"/>
          </w:tcPr>
          <w:p w14:paraId="4903C2FF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Marktanteil (%)</w:t>
            </w:r>
          </w:p>
        </w:tc>
        <w:tc>
          <w:tcPr>
            <w:tcW w:w="1783" w:type="dxa"/>
            <w:vMerge w:val="restart"/>
            <w:shd w:val="clear" w:color="auto" w:fill="EECFCE" w:themeFill="accent1" w:themeFillTint="33"/>
            <w:vAlign w:val="center"/>
          </w:tcPr>
          <w:p w14:paraId="6719F46F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Marktpotenzial (Mio. €)</w:t>
            </w:r>
          </w:p>
        </w:tc>
      </w:tr>
      <w:tr w:rsidR="00C84271" w:rsidRPr="00DF74D5" w14:paraId="4C687724" w14:textId="77777777" w:rsidTr="00E20E5B">
        <w:trPr>
          <w:trHeight w:val="422"/>
          <w:jc w:val="center"/>
        </w:trPr>
        <w:tc>
          <w:tcPr>
            <w:tcW w:w="1770" w:type="dxa"/>
            <w:vMerge/>
            <w:shd w:val="clear" w:color="auto" w:fill="EECFCE" w:themeFill="accent1" w:themeFillTint="33"/>
            <w:vAlign w:val="center"/>
          </w:tcPr>
          <w:p w14:paraId="7F6209A8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</w:p>
        </w:tc>
        <w:tc>
          <w:tcPr>
            <w:tcW w:w="1681" w:type="dxa"/>
            <w:vMerge/>
            <w:vAlign w:val="center"/>
          </w:tcPr>
          <w:p w14:paraId="6F19718F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</w:p>
        </w:tc>
        <w:tc>
          <w:tcPr>
            <w:tcW w:w="928" w:type="dxa"/>
            <w:shd w:val="clear" w:color="auto" w:fill="EECFCE" w:themeFill="accent1" w:themeFillTint="33"/>
            <w:vAlign w:val="center"/>
          </w:tcPr>
          <w:p w14:paraId="607590C8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Careli</w:t>
            </w:r>
          </w:p>
        </w:tc>
        <w:tc>
          <w:tcPr>
            <w:tcW w:w="1669" w:type="dxa"/>
            <w:shd w:val="clear" w:color="auto" w:fill="EECFCE" w:themeFill="accent1" w:themeFillTint="33"/>
            <w:vAlign w:val="center"/>
          </w:tcPr>
          <w:p w14:paraId="4FC82DA8" w14:textId="77777777" w:rsidR="00C84271" w:rsidRPr="00DF74D5" w:rsidRDefault="00C84271" w:rsidP="00DF74D5">
            <w:pPr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stärkster</w:t>
            </w:r>
          </w:p>
          <w:p w14:paraId="4D8C6B55" w14:textId="77777777" w:rsidR="00C84271" w:rsidRPr="00DF74D5" w:rsidRDefault="00C84271" w:rsidP="00DF74D5">
            <w:pPr>
              <w:jc w:val="center"/>
              <w:rPr>
                <w:b/>
                <w:bCs/>
                <w:kern w:val="2"/>
                <w:szCs w:val="22"/>
                <w14:ligatures w14:val="standardContextual"/>
              </w:rPr>
            </w:pPr>
            <w:r w:rsidRPr="00DF74D5">
              <w:rPr>
                <w:b/>
                <w:bCs/>
                <w:szCs w:val="22"/>
              </w:rPr>
              <w:t>Wettbewerber</w:t>
            </w:r>
          </w:p>
        </w:tc>
        <w:tc>
          <w:tcPr>
            <w:tcW w:w="1231" w:type="dxa"/>
            <w:shd w:val="clear" w:color="auto" w:fill="EECFCE" w:themeFill="accent1" w:themeFillTint="33"/>
            <w:vAlign w:val="center"/>
          </w:tcPr>
          <w:p w14:paraId="1EFE8BE6" w14:textId="77777777" w:rsidR="00C84271" w:rsidRPr="00DF74D5" w:rsidRDefault="00C84271" w:rsidP="00DF74D5">
            <w:pPr>
              <w:spacing w:line="276" w:lineRule="auto"/>
              <w:jc w:val="center"/>
              <w:rPr>
                <w:b/>
                <w:bCs/>
                <w:szCs w:val="22"/>
              </w:rPr>
            </w:pPr>
            <w:r w:rsidRPr="00DF74D5">
              <w:rPr>
                <w:b/>
                <w:bCs/>
                <w:szCs w:val="22"/>
              </w:rPr>
              <w:t>restliche</w:t>
            </w:r>
          </w:p>
          <w:p w14:paraId="763A41FA" w14:textId="5CC5C5EC" w:rsidR="00C84271" w:rsidRPr="00DF74D5" w:rsidRDefault="00C84271" w:rsidP="00DF74D5">
            <w:pPr>
              <w:spacing w:line="276" w:lineRule="auto"/>
              <w:jc w:val="center"/>
              <w:rPr>
                <w:b/>
                <w:bCs/>
                <w:kern w:val="2"/>
                <w:szCs w:val="22"/>
                <w14:ligatures w14:val="standardContextual"/>
              </w:rPr>
            </w:pPr>
            <w:r w:rsidRPr="00DF74D5">
              <w:rPr>
                <w:b/>
                <w:bCs/>
                <w:szCs w:val="22"/>
              </w:rPr>
              <w:t>Anbieter</w:t>
            </w:r>
          </w:p>
        </w:tc>
        <w:tc>
          <w:tcPr>
            <w:tcW w:w="1783" w:type="dxa"/>
            <w:vMerge/>
          </w:tcPr>
          <w:p w14:paraId="34020437" w14:textId="77777777" w:rsidR="00C84271" w:rsidRPr="00DF74D5" w:rsidRDefault="00C84271" w:rsidP="00DF74D5">
            <w:pPr>
              <w:rPr>
                <w:szCs w:val="22"/>
              </w:rPr>
            </w:pPr>
          </w:p>
        </w:tc>
      </w:tr>
      <w:tr w:rsidR="00C84271" w:rsidRPr="00DF74D5" w14:paraId="7FC8C498" w14:textId="77777777" w:rsidTr="00DF74D5">
        <w:trPr>
          <w:trHeight w:val="283"/>
          <w:jc w:val="center"/>
        </w:trPr>
        <w:tc>
          <w:tcPr>
            <w:tcW w:w="1770" w:type="dxa"/>
          </w:tcPr>
          <w:p w14:paraId="5EAF6CA7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81" w:type="dxa"/>
          </w:tcPr>
          <w:p w14:paraId="0AE834F0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928" w:type="dxa"/>
          </w:tcPr>
          <w:p w14:paraId="09438EBE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69" w:type="dxa"/>
          </w:tcPr>
          <w:p w14:paraId="7FC7C14C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231" w:type="dxa"/>
          </w:tcPr>
          <w:p w14:paraId="2D4F7C3E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783" w:type="dxa"/>
          </w:tcPr>
          <w:p w14:paraId="5D5E2546" w14:textId="77777777" w:rsidR="00C84271" w:rsidRPr="00DF74D5" w:rsidRDefault="00C84271" w:rsidP="00DF74D5">
            <w:pPr>
              <w:rPr>
                <w:szCs w:val="22"/>
              </w:rPr>
            </w:pPr>
          </w:p>
        </w:tc>
      </w:tr>
      <w:tr w:rsidR="00C84271" w:rsidRPr="00DF74D5" w14:paraId="651C0FBD" w14:textId="77777777" w:rsidTr="00DF74D5">
        <w:trPr>
          <w:trHeight w:val="283"/>
          <w:jc w:val="center"/>
        </w:trPr>
        <w:tc>
          <w:tcPr>
            <w:tcW w:w="1770" w:type="dxa"/>
          </w:tcPr>
          <w:p w14:paraId="542AF713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81" w:type="dxa"/>
          </w:tcPr>
          <w:p w14:paraId="0F55777C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928" w:type="dxa"/>
          </w:tcPr>
          <w:p w14:paraId="5CD592E2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69" w:type="dxa"/>
          </w:tcPr>
          <w:p w14:paraId="0870C2D8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231" w:type="dxa"/>
          </w:tcPr>
          <w:p w14:paraId="68EF8AAB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783" w:type="dxa"/>
          </w:tcPr>
          <w:p w14:paraId="48A7B6C9" w14:textId="77777777" w:rsidR="00C84271" w:rsidRPr="00DF74D5" w:rsidRDefault="00C84271" w:rsidP="00DF74D5">
            <w:pPr>
              <w:rPr>
                <w:szCs w:val="22"/>
              </w:rPr>
            </w:pPr>
          </w:p>
        </w:tc>
      </w:tr>
      <w:tr w:rsidR="00C84271" w:rsidRPr="00DF74D5" w14:paraId="1816B4C9" w14:textId="77777777" w:rsidTr="00DF74D5">
        <w:trPr>
          <w:trHeight w:val="283"/>
          <w:jc w:val="center"/>
        </w:trPr>
        <w:tc>
          <w:tcPr>
            <w:tcW w:w="1770" w:type="dxa"/>
          </w:tcPr>
          <w:p w14:paraId="0094B3E2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81" w:type="dxa"/>
          </w:tcPr>
          <w:p w14:paraId="63C59FFE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928" w:type="dxa"/>
          </w:tcPr>
          <w:p w14:paraId="2F97CAA3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69" w:type="dxa"/>
          </w:tcPr>
          <w:p w14:paraId="6D459BB7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231" w:type="dxa"/>
          </w:tcPr>
          <w:p w14:paraId="2273A6C8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783" w:type="dxa"/>
          </w:tcPr>
          <w:p w14:paraId="49D1FE54" w14:textId="77777777" w:rsidR="00C84271" w:rsidRPr="00DF74D5" w:rsidRDefault="00C84271" w:rsidP="00DF74D5">
            <w:pPr>
              <w:rPr>
                <w:szCs w:val="22"/>
              </w:rPr>
            </w:pPr>
          </w:p>
        </w:tc>
      </w:tr>
      <w:tr w:rsidR="00C84271" w:rsidRPr="00DF74D5" w14:paraId="6E4A087C" w14:textId="77777777" w:rsidTr="00DF74D5">
        <w:trPr>
          <w:trHeight w:val="283"/>
          <w:jc w:val="center"/>
        </w:trPr>
        <w:tc>
          <w:tcPr>
            <w:tcW w:w="1770" w:type="dxa"/>
          </w:tcPr>
          <w:p w14:paraId="3A223572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81" w:type="dxa"/>
          </w:tcPr>
          <w:p w14:paraId="4D69399E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928" w:type="dxa"/>
          </w:tcPr>
          <w:p w14:paraId="58D44F1E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669" w:type="dxa"/>
          </w:tcPr>
          <w:p w14:paraId="63EC213D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231" w:type="dxa"/>
          </w:tcPr>
          <w:p w14:paraId="74C41E36" w14:textId="77777777" w:rsidR="00C84271" w:rsidRPr="00DF74D5" w:rsidRDefault="00C84271" w:rsidP="00DF74D5">
            <w:pPr>
              <w:rPr>
                <w:szCs w:val="22"/>
              </w:rPr>
            </w:pPr>
          </w:p>
        </w:tc>
        <w:tc>
          <w:tcPr>
            <w:tcW w:w="1783" w:type="dxa"/>
          </w:tcPr>
          <w:p w14:paraId="22C803E4" w14:textId="77777777" w:rsidR="00C84271" w:rsidRPr="00DF74D5" w:rsidRDefault="00C84271" w:rsidP="00DF74D5">
            <w:pPr>
              <w:rPr>
                <w:szCs w:val="22"/>
              </w:rPr>
            </w:pPr>
          </w:p>
        </w:tc>
      </w:tr>
    </w:tbl>
    <w:p w14:paraId="21461C54" w14:textId="46A04E1B" w:rsidR="00C84271" w:rsidRDefault="00C84271" w:rsidP="00DF74D5"/>
    <w:sectPr w:rsidR="00C84271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4271"/>
    <w:rsid w:val="002210CF"/>
    <w:rsid w:val="00920D10"/>
    <w:rsid w:val="00B50C56"/>
    <w:rsid w:val="00C84271"/>
    <w:rsid w:val="00DE6E2C"/>
    <w:rsid w:val="00DF0C16"/>
    <w:rsid w:val="00DF74D5"/>
    <w:rsid w:val="00E20E5B"/>
    <w:rsid w:val="00F468F8"/>
    <w:rsid w:val="00FB1A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B73EE0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DF74D5"/>
    <w:pPr>
      <w:spacing w:after="0" w:line="264" w:lineRule="auto"/>
    </w:pPr>
    <w:rPr>
      <w:rFonts w:ascii="Aptos" w:hAnsi="Aptos"/>
      <w:kern w:val="0"/>
      <w:sz w:val="22"/>
      <w14:ligatures w14:val="none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DF0C16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000000"/>
      <w:kern w:val="2"/>
      <w:sz w:val="32"/>
      <w:szCs w:val="32"/>
      <w14:ligatures w14:val="standardContextual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DF0C1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000000"/>
      <w:kern w:val="2"/>
      <w:sz w:val="26"/>
      <w:szCs w:val="26"/>
      <w14:ligatures w14:val="standardContextual"/>
    </w:rPr>
  </w:style>
  <w:style w:type="paragraph" w:styleId="berschrift3">
    <w:name w:val="heading 3"/>
    <w:basedOn w:val="Standard"/>
    <w:next w:val="Standard"/>
    <w:link w:val="berschrift3Zchn"/>
    <w:uiPriority w:val="9"/>
    <w:semiHidden/>
    <w:unhideWhenUsed/>
    <w:qFormat/>
    <w:rsid w:val="00DF0C1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000000"/>
      <w:kern w:val="2"/>
      <w:sz w:val="24"/>
      <w14:ligatures w14:val="standardContextual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C84271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652524" w:themeColor="accent1" w:themeShade="BF"/>
      <w:kern w:val="2"/>
      <w14:ligatures w14:val="standardContextual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C84271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652524" w:themeColor="accent1" w:themeShade="BF"/>
      <w:kern w:val="2"/>
      <w14:ligatures w14:val="standardContextual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C84271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787370" w:themeColor="text1" w:themeTint="A6"/>
      <w:kern w:val="2"/>
      <w14:ligatures w14:val="standardContextual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C84271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787370" w:themeColor="text1" w:themeTint="A6"/>
      <w:kern w:val="2"/>
      <w14:ligatures w14:val="standardContextual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C84271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4D4A48" w:themeColor="text1" w:themeTint="D8"/>
      <w:kern w:val="2"/>
      <w14:ligatures w14:val="standardContextual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C84271"/>
    <w:pPr>
      <w:keepNext/>
      <w:keepLines/>
      <w:outlineLvl w:val="8"/>
    </w:pPr>
    <w:rPr>
      <w:rFonts w:asciiTheme="minorHAnsi" w:eastAsiaTheme="majorEastAsia" w:hAnsiTheme="minorHAnsi" w:cstheme="majorBidi"/>
      <w:color w:val="4D4A48" w:themeColor="text1" w:themeTint="D8"/>
      <w:kern w:val="2"/>
      <w14:ligatures w14:val="standardContextual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DF0C16"/>
    <w:rPr>
      <w:rFonts w:asciiTheme="majorHAnsi" w:eastAsiaTheme="majorEastAsia" w:hAnsiTheme="majorHAnsi" w:cstheme="majorBidi"/>
      <w:color w:val="000000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DF0C16"/>
    <w:rPr>
      <w:rFonts w:asciiTheme="majorHAnsi" w:eastAsiaTheme="majorEastAsia" w:hAnsiTheme="majorHAnsi" w:cstheme="majorBidi"/>
      <w:color w:val="000000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DF0C16"/>
    <w:rPr>
      <w:rFonts w:asciiTheme="majorHAnsi" w:eastAsiaTheme="majorEastAsia" w:hAnsiTheme="majorHAnsi" w:cstheme="majorBidi"/>
      <w:color w:val="000000"/>
    </w:rPr>
  </w:style>
  <w:style w:type="character" w:styleId="IntensiveHervorhebung">
    <w:name w:val="Intense Emphasis"/>
    <w:basedOn w:val="Absatz-Standardschriftart"/>
    <w:uiPriority w:val="21"/>
    <w:qFormat/>
    <w:rsid w:val="00DF0C16"/>
    <w:rPr>
      <w:i/>
      <w:iCs/>
      <w:color w:val="000000"/>
    </w:rPr>
  </w:style>
  <w:style w:type="paragraph" w:styleId="IntensivesZitat">
    <w:name w:val="Intense Quote"/>
    <w:basedOn w:val="Standard"/>
    <w:next w:val="Standard"/>
    <w:link w:val="IntensivesZitatZchn"/>
    <w:uiPriority w:val="30"/>
    <w:qFormat/>
    <w:rsid w:val="00DF0C16"/>
    <w:pPr>
      <w:pBdr>
        <w:top w:val="single" w:sz="4" w:space="10" w:color="883230" w:themeColor="accent1"/>
        <w:bottom w:val="single" w:sz="4" w:space="10" w:color="883230" w:themeColor="accent1"/>
      </w:pBdr>
      <w:spacing w:before="360" w:after="360"/>
      <w:ind w:left="864" w:right="864"/>
      <w:jc w:val="center"/>
    </w:pPr>
    <w:rPr>
      <w:i/>
      <w:iCs/>
      <w:color w:val="000000"/>
      <w:kern w:val="2"/>
      <w14:ligatures w14:val="standardContextual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rsid w:val="00DF0C16"/>
    <w:rPr>
      <w:rFonts w:ascii="Aptos" w:hAnsi="Aptos"/>
      <w:i/>
      <w:iCs/>
      <w:color w:val="000000"/>
      <w:sz w:val="22"/>
    </w:rPr>
  </w:style>
  <w:style w:type="character" w:styleId="IntensiverVerweis">
    <w:name w:val="Intense Reference"/>
    <w:basedOn w:val="Absatz-Standardschriftart"/>
    <w:uiPriority w:val="32"/>
    <w:qFormat/>
    <w:rsid w:val="00DF0C16"/>
    <w:rPr>
      <w:b/>
      <w:bCs/>
      <w:smallCaps/>
      <w:color w:val="000000"/>
      <w:spacing w:val="5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C84271"/>
    <w:rPr>
      <w:rFonts w:eastAsiaTheme="majorEastAsia" w:cstheme="majorBidi"/>
      <w:i/>
      <w:iCs/>
      <w:color w:val="652524" w:themeColor="accent1" w:themeShade="BF"/>
      <w:sz w:val="22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C84271"/>
    <w:rPr>
      <w:rFonts w:eastAsiaTheme="majorEastAsia" w:cstheme="majorBidi"/>
      <w:color w:val="652524" w:themeColor="accent1" w:themeShade="BF"/>
      <w:sz w:val="22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C84271"/>
    <w:rPr>
      <w:rFonts w:eastAsiaTheme="majorEastAsia" w:cstheme="majorBidi"/>
      <w:i/>
      <w:iCs/>
      <w:color w:val="787370" w:themeColor="text1" w:themeTint="A6"/>
      <w:sz w:val="22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C84271"/>
    <w:rPr>
      <w:rFonts w:eastAsiaTheme="majorEastAsia" w:cstheme="majorBidi"/>
      <w:color w:val="787370" w:themeColor="text1" w:themeTint="A6"/>
      <w:sz w:val="22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C84271"/>
    <w:rPr>
      <w:rFonts w:eastAsiaTheme="majorEastAsia" w:cstheme="majorBidi"/>
      <w:i/>
      <w:iCs/>
      <w:color w:val="4D4A48" w:themeColor="text1" w:themeTint="D8"/>
      <w:sz w:val="22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C84271"/>
    <w:rPr>
      <w:rFonts w:eastAsiaTheme="majorEastAsia" w:cstheme="majorBidi"/>
      <w:color w:val="4D4A48" w:themeColor="text1" w:themeTint="D8"/>
      <w:sz w:val="22"/>
    </w:rPr>
  </w:style>
  <w:style w:type="paragraph" w:styleId="Titel">
    <w:name w:val="Title"/>
    <w:basedOn w:val="Standard"/>
    <w:next w:val="Standard"/>
    <w:link w:val="TitelZchn"/>
    <w:uiPriority w:val="10"/>
    <w:qFormat/>
    <w:rsid w:val="00C8427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TitelZchn">
    <w:name w:val="Titel Zchn"/>
    <w:basedOn w:val="Absatz-Standardschriftart"/>
    <w:link w:val="Titel"/>
    <w:uiPriority w:val="10"/>
    <w:rsid w:val="00C8427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tertitel">
    <w:name w:val="Subtitle"/>
    <w:basedOn w:val="Standard"/>
    <w:next w:val="Standard"/>
    <w:link w:val="UntertitelZchn"/>
    <w:uiPriority w:val="11"/>
    <w:qFormat/>
    <w:rsid w:val="00C84271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787370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UntertitelZchn">
    <w:name w:val="Untertitel Zchn"/>
    <w:basedOn w:val="Absatz-Standardschriftart"/>
    <w:link w:val="Untertitel"/>
    <w:uiPriority w:val="11"/>
    <w:rsid w:val="00C84271"/>
    <w:rPr>
      <w:rFonts w:eastAsiaTheme="majorEastAsia" w:cstheme="majorBidi"/>
      <w:color w:val="787370" w:themeColor="text1" w:themeTint="A6"/>
      <w:spacing w:val="15"/>
      <w:sz w:val="28"/>
      <w:szCs w:val="28"/>
    </w:rPr>
  </w:style>
  <w:style w:type="paragraph" w:styleId="Zitat">
    <w:name w:val="Quote"/>
    <w:basedOn w:val="Standard"/>
    <w:next w:val="Standard"/>
    <w:link w:val="ZitatZchn"/>
    <w:uiPriority w:val="29"/>
    <w:qFormat/>
    <w:rsid w:val="00C84271"/>
    <w:pPr>
      <w:spacing w:before="160" w:after="160"/>
      <w:jc w:val="center"/>
    </w:pPr>
    <w:rPr>
      <w:i/>
      <w:iCs/>
      <w:color w:val="635E5C" w:themeColor="text1" w:themeTint="BF"/>
      <w:kern w:val="2"/>
      <w14:ligatures w14:val="standardContextual"/>
    </w:rPr>
  </w:style>
  <w:style w:type="character" w:customStyle="1" w:styleId="ZitatZchn">
    <w:name w:val="Zitat Zchn"/>
    <w:basedOn w:val="Absatz-Standardschriftart"/>
    <w:link w:val="Zitat"/>
    <w:uiPriority w:val="29"/>
    <w:rsid w:val="00C84271"/>
    <w:rPr>
      <w:rFonts w:ascii="Aptos" w:hAnsi="Aptos"/>
      <w:i/>
      <w:iCs/>
      <w:color w:val="635E5C" w:themeColor="text1" w:themeTint="BF"/>
      <w:sz w:val="22"/>
    </w:rPr>
  </w:style>
  <w:style w:type="paragraph" w:styleId="Listenabsatz">
    <w:name w:val="List Paragraph"/>
    <w:basedOn w:val="Standard"/>
    <w:uiPriority w:val="34"/>
    <w:qFormat/>
    <w:rsid w:val="00C84271"/>
    <w:pPr>
      <w:ind w:left="720"/>
      <w:contextualSpacing/>
    </w:pPr>
    <w:rPr>
      <w:kern w:val="2"/>
      <w14:ligatures w14:val="standardContextual"/>
    </w:rPr>
  </w:style>
  <w:style w:type="table" w:styleId="Tabellenraster">
    <w:name w:val="Table Grid"/>
    <w:basedOn w:val="NormaleTabelle"/>
    <w:uiPriority w:val="39"/>
    <w:rsid w:val="00C8427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Design_Careli-Aptos">
  <a:themeElements>
    <a:clrScheme name="Careli">
      <a:dk1>
        <a:srgbClr val="2C2A29"/>
      </a:dk1>
      <a:lt1>
        <a:sysClr val="window" lastClr="FFFFFF"/>
      </a:lt1>
      <a:dk2>
        <a:srgbClr val="CBC9C8"/>
      </a:dk2>
      <a:lt2>
        <a:srgbClr val="EAE9E8"/>
      </a:lt2>
      <a:accent1>
        <a:srgbClr val="883230"/>
      </a:accent1>
      <a:accent2>
        <a:srgbClr val="AA3F3C"/>
      </a:accent2>
      <a:accent3>
        <a:srgbClr val="C05350"/>
      </a:accent3>
      <a:accent4>
        <a:srgbClr val="C55E5B"/>
      </a:accent4>
      <a:accent5>
        <a:srgbClr val="C6605E"/>
      </a:accent5>
      <a:accent6>
        <a:srgbClr val="005D80"/>
      </a:accent6>
      <a:hlink>
        <a:srgbClr val="2C2A29"/>
      </a:hlink>
      <a:folHlink>
        <a:srgbClr val="423F3D"/>
      </a:folHlink>
    </a:clrScheme>
    <a:fontScheme name="Aptos">
      <a:majorFont>
        <a:latin typeface="Aptos"/>
        <a:ea typeface=""/>
        <a:cs typeface=""/>
      </a:majorFont>
      <a:minorFont>
        <a:latin typeface="Apto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Design_Careli-Aptos" id="{C98816A0-6FED-40B8-9B9A-00868E3E1DF3}" vid="{D01C2D3E-1E2E-4F61-8446-7F17AECAC605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2 (B) Analysieren von Marktgrößen Arbeitsauftrag 1.dotx</Template>
  <TotalTime>0</TotalTime>
  <Pages>1</Pages>
  <Words>16</Words>
  <Characters>127</Characters>
  <Application>Microsoft Office Word</Application>
  <DocSecurity>0</DocSecurity>
  <Lines>39</Lines>
  <Paragraphs>11</Paragraphs>
  <ScaleCrop>false</ScaleCrop>
  <Company/>
  <LinksUpToDate>false</LinksUpToDate>
  <CharactersWithSpaces>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Batschauer, Vanessa</dc:creator>
  <cp:keywords/>
  <dc:description/>
  <cp:lastModifiedBy>Thomas Gorontzy</cp:lastModifiedBy>
  <cp:revision>3</cp:revision>
  <dcterms:created xsi:type="dcterms:W3CDTF">2025-10-03T15:23:00Z</dcterms:created>
  <dcterms:modified xsi:type="dcterms:W3CDTF">2026-09-04T18:08:00Z</dcterms:modified>
</cp:coreProperties>
</file>